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D99D0" w14:textId="46B42F39" w:rsidR="00381105" w:rsidRPr="00A708B4" w:rsidRDefault="00381105">
      <w:pPr>
        <w:rPr>
          <w:lang w:val="en-US"/>
        </w:rPr>
      </w:pPr>
    </w:p>
    <w:p w14:paraId="098479A6" w14:textId="3A3B83E9" w:rsidR="00B1598D" w:rsidRPr="00A708B4" w:rsidRDefault="00B1598D" w:rsidP="00B1598D">
      <w:pPr>
        <w:rPr>
          <w:lang w:val="en-US"/>
        </w:rPr>
      </w:pPr>
    </w:p>
    <w:p w14:paraId="18405ABD" w14:textId="7546FE5C" w:rsidR="00B1598D" w:rsidRDefault="00B1598D" w:rsidP="00B1598D">
      <w:pPr>
        <w:rPr>
          <w:lang w:val="en-US"/>
        </w:rPr>
      </w:pPr>
    </w:p>
    <w:p w14:paraId="3F98F583" w14:textId="6A0F7BFA" w:rsidR="00D95343" w:rsidRDefault="00D95343" w:rsidP="00B1598D">
      <w:pPr>
        <w:rPr>
          <w:lang w:val="en-US"/>
        </w:rPr>
      </w:pPr>
    </w:p>
    <w:p w14:paraId="6F141A68" w14:textId="7145F9E5" w:rsidR="00D95343" w:rsidRDefault="00D95343" w:rsidP="00B1598D">
      <w:pPr>
        <w:rPr>
          <w:lang w:val="en-US"/>
        </w:rPr>
      </w:pPr>
    </w:p>
    <w:p w14:paraId="2490B89C" w14:textId="5F06FA3C" w:rsidR="00D95343" w:rsidRDefault="00D95343" w:rsidP="00B1598D">
      <w:pPr>
        <w:rPr>
          <w:lang w:val="en-US"/>
        </w:rPr>
      </w:pPr>
    </w:p>
    <w:p w14:paraId="29BAA72A" w14:textId="78ABC827" w:rsidR="00D95343" w:rsidRDefault="00D95343" w:rsidP="00B1598D">
      <w:pPr>
        <w:rPr>
          <w:lang w:val="en-US"/>
        </w:rPr>
      </w:pPr>
    </w:p>
    <w:p w14:paraId="712A6E76" w14:textId="03DC8D19" w:rsidR="00D95343" w:rsidRDefault="00D95343" w:rsidP="00B1598D">
      <w:pPr>
        <w:rPr>
          <w:lang w:val="en-US"/>
        </w:rPr>
      </w:pPr>
    </w:p>
    <w:p w14:paraId="3F1D9EAC" w14:textId="6E5CF4DD" w:rsidR="00D95343" w:rsidRDefault="00D95343" w:rsidP="00B1598D">
      <w:pPr>
        <w:rPr>
          <w:lang w:val="en-US"/>
        </w:rPr>
      </w:pPr>
    </w:p>
    <w:p w14:paraId="7F2AADF4" w14:textId="77777777" w:rsidR="00D95343" w:rsidRPr="00A708B4" w:rsidRDefault="00D95343" w:rsidP="00B1598D">
      <w:pPr>
        <w:rPr>
          <w:lang w:val="en-US"/>
        </w:rPr>
      </w:pPr>
    </w:p>
    <w:p w14:paraId="42AACA54" w14:textId="2D20C312" w:rsidR="00B1598D" w:rsidRPr="00A708B4" w:rsidRDefault="00B1598D" w:rsidP="00B1598D">
      <w:pPr>
        <w:rPr>
          <w:lang w:val="en-US"/>
        </w:rPr>
      </w:pPr>
    </w:p>
    <w:p w14:paraId="5CE8591D" w14:textId="58AF83A0" w:rsidR="00B1598D" w:rsidRPr="00A708B4" w:rsidRDefault="00B1598D" w:rsidP="00B1598D">
      <w:pPr>
        <w:rPr>
          <w:lang w:val="en-US"/>
        </w:rPr>
      </w:pPr>
    </w:p>
    <w:p w14:paraId="60598603" w14:textId="657708B7" w:rsidR="00B1598D" w:rsidRPr="00A708B4" w:rsidRDefault="00B1598D" w:rsidP="00B1598D">
      <w:pPr>
        <w:rPr>
          <w:lang w:val="en-US"/>
        </w:rPr>
      </w:pPr>
    </w:p>
    <w:p w14:paraId="7C44EDDE" w14:textId="33DE65F0" w:rsidR="005602F7" w:rsidRPr="002776A5" w:rsidRDefault="00261F4A" w:rsidP="005602F7">
      <w:pPr>
        <w:pBdr>
          <w:bottom w:val="single" w:sz="4" w:space="1" w:color="auto"/>
        </w:pBdr>
        <w:jc w:val="center"/>
        <w:rPr>
          <w:rFonts w:eastAsia="Calibri"/>
          <w:b/>
          <w:color w:val="1F3864" w:themeColor="accent1" w:themeShade="80"/>
          <w:sz w:val="40"/>
          <w:szCs w:val="40"/>
          <w:lang w:val="en-US"/>
        </w:rPr>
      </w:pPr>
      <w:proofErr w:type="spellStart"/>
      <w:r>
        <w:rPr>
          <w:rFonts w:eastAsia="Calibri"/>
          <w:b/>
          <w:color w:val="1F3864" w:themeColor="accent1" w:themeShade="80"/>
          <w:sz w:val="40"/>
          <w:szCs w:val="40"/>
          <w:lang w:val="en-US"/>
        </w:rPr>
        <w:t>Ersättningsrapport</w:t>
      </w:r>
      <w:proofErr w:type="spellEnd"/>
      <w:r>
        <w:rPr>
          <w:rFonts w:eastAsia="Calibri"/>
          <w:b/>
          <w:color w:val="1F3864" w:themeColor="accent1" w:themeShade="80"/>
          <w:sz w:val="40"/>
          <w:szCs w:val="40"/>
          <w:lang w:val="en-US"/>
        </w:rPr>
        <w:t xml:space="preserve"> 202</w:t>
      </w:r>
      <w:r w:rsidR="00D21AB6">
        <w:rPr>
          <w:rFonts w:eastAsia="Calibri"/>
          <w:b/>
          <w:color w:val="1F3864" w:themeColor="accent1" w:themeShade="80"/>
          <w:sz w:val="40"/>
          <w:szCs w:val="40"/>
          <w:lang w:val="en-US"/>
        </w:rPr>
        <w:t>4</w:t>
      </w:r>
    </w:p>
    <w:p w14:paraId="5CCA21CC" w14:textId="25A5D9B7" w:rsidR="002C6928" w:rsidRPr="001113A4" w:rsidRDefault="002C6928" w:rsidP="002C6928">
      <w:pPr>
        <w:pBdr>
          <w:bottom w:val="single" w:sz="4" w:space="1" w:color="auto"/>
        </w:pBdr>
        <w:jc w:val="center"/>
        <w:rPr>
          <w:rFonts w:eastAsia="Calibri"/>
          <w:b/>
          <w:color w:val="1F3864" w:themeColor="accent1" w:themeShade="80"/>
          <w:sz w:val="40"/>
          <w:szCs w:val="40"/>
          <w:lang w:val="en-GB"/>
        </w:rPr>
      </w:pPr>
    </w:p>
    <w:p w14:paraId="22963657" w14:textId="77AF639F" w:rsidR="00B1598D" w:rsidRPr="00562ECF" w:rsidRDefault="00B1598D" w:rsidP="00B1598D">
      <w:pPr>
        <w:rPr>
          <w:lang w:val="en-US"/>
        </w:rPr>
      </w:pPr>
    </w:p>
    <w:p w14:paraId="1E8DB78F" w14:textId="3DC7B8E6" w:rsidR="00B1598D" w:rsidRPr="00562ECF" w:rsidRDefault="00B1598D" w:rsidP="00B1598D">
      <w:pPr>
        <w:rPr>
          <w:lang w:val="en-US"/>
        </w:rPr>
      </w:pPr>
    </w:p>
    <w:p w14:paraId="320D2220" w14:textId="3CE305E9" w:rsidR="00B1598D" w:rsidRPr="00562ECF" w:rsidRDefault="00B1598D" w:rsidP="00B1598D">
      <w:pPr>
        <w:rPr>
          <w:lang w:val="en-US"/>
        </w:rPr>
      </w:pPr>
    </w:p>
    <w:p w14:paraId="6C667EC7" w14:textId="331A8EE8" w:rsidR="00B1598D" w:rsidRPr="00562ECF" w:rsidRDefault="00B1598D" w:rsidP="00B1598D">
      <w:pPr>
        <w:rPr>
          <w:lang w:val="en-US"/>
        </w:rPr>
      </w:pPr>
    </w:p>
    <w:p w14:paraId="1CE92271" w14:textId="36DAF975" w:rsidR="00B1598D" w:rsidRPr="00562ECF" w:rsidRDefault="00B1598D" w:rsidP="00B1598D">
      <w:pPr>
        <w:rPr>
          <w:lang w:val="en-US"/>
        </w:rPr>
      </w:pPr>
    </w:p>
    <w:p w14:paraId="09A0BE05" w14:textId="76A6885A" w:rsidR="00B1598D" w:rsidRPr="00562ECF" w:rsidRDefault="00B1598D" w:rsidP="00B1598D">
      <w:pPr>
        <w:rPr>
          <w:lang w:val="en-US"/>
        </w:rPr>
      </w:pPr>
    </w:p>
    <w:p w14:paraId="6DC9C9EC" w14:textId="71544BDB" w:rsidR="00B1598D" w:rsidRPr="00562ECF" w:rsidRDefault="00B1598D" w:rsidP="00B1598D">
      <w:pPr>
        <w:rPr>
          <w:lang w:val="en-US"/>
        </w:rPr>
      </w:pPr>
    </w:p>
    <w:p w14:paraId="49EF0AC4" w14:textId="727CE4EE" w:rsidR="00B1598D" w:rsidRPr="00562ECF" w:rsidRDefault="00B1598D" w:rsidP="00B1598D">
      <w:pPr>
        <w:rPr>
          <w:lang w:val="en-US"/>
        </w:rPr>
      </w:pPr>
    </w:p>
    <w:p w14:paraId="5F2E3552" w14:textId="0AC0702C" w:rsidR="00B1598D" w:rsidRPr="00562ECF" w:rsidRDefault="00B1598D" w:rsidP="00B1598D">
      <w:pPr>
        <w:rPr>
          <w:lang w:val="en-US"/>
        </w:rPr>
      </w:pPr>
    </w:p>
    <w:p w14:paraId="505383D9" w14:textId="2EF5FE4A" w:rsidR="00B1598D" w:rsidRPr="00B1598D" w:rsidRDefault="00B1598D" w:rsidP="00B1598D"/>
    <w:p w14:paraId="2E292A49" w14:textId="0E110250" w:rsidR="00B1598D" w:rsidRPr="00B1598D" w:rsidRDefault="00B1598D" w:rsidP="00B1598D"/>
    <w:p w14:paraId="70F56F46" w14:textId="2024417E" w:rsidR="00B1598D" w:rsidRDefault="00B1598D" w:rsidP="00B1598D"/>
    <w:sdt>
      <w:sdtPr>
        <w:rPr>
          <w:rFonts w:ascii="Verdana" w:eastAsiaTheme="minorHAnsi" w:hAnsi="Verdana" w:cstheme="minorBidi"/>
          <w:color w:val="auto"/>
          <w:sz w:val="20"/>
          <w:szCs w:val="22"/>
          <w:lang w:eastAsia="en-US"/>
        </w:rPr>
        <w:id w:val="930467402"/>
        <w:docPartObj>
          <w:docPartGallery w:val="Table of Contents"/>
          <w:docPartUnique/>
        </w:docPartObj>
      </w:sdtPr>
      <w:sdtEndPr>
        <w:rPr>
          <w:b/>
          <w:bCs/>
        </w:rPr>
      </w:sdtEndPr>
      <w:sdtContent>
        <w:p w14:paraId="3F5E31C1" w14:textId="630FF5C7" w:rsidR="00E34236" w:rsidRDefault="00E34236" w:rsidP="00E34236">
          <w:pPr>
            <w:pStyle w:val="TOCHeading"/>
          </w:pPr>
        </w:p>
        <w:p w14:paraId="1BA78385" w14:textId="7FF7E413" w:rsidR="00912E72" w:rsidRDefault="00000000"/>
      </w:sdtContent>
    </w:sdt>
    <w:p w14:paraId="29108DA5" w14:textId="366C5A97" w:rsidR="00B1598D" w:rsidRPr="006B7927" w:rsidRDefault="00912E72" w:rsidP="006B7927">
      <w:pPr>
        <w:spacing w:line="259" w:lineRule="auto"/>
      </w:pPr>
      <w:r>
        <w:br w:type="page"/>
      </w:r>
    </w:p>
    <w:p w14:paraId="43DF402E" w14:textId="01FDC519" w:rsidR="002E3905" w:rsidRPr="009621FA" w:rsidRDefault="0036039E" w:rsidP="00A37BD6">
      <w:pPr>
        <w:pStyle w:val="Heading1"/>
        <w:keepLines/>
        <w:numPr>
          <w:ilvl w:val="0"/>
          <w:numId w:val="0"/>
        </w:numPr>
        <w:spacing w:before="480" w:after="240"/>
        <w:ind w:left="720" w:hanging="720"/>
        <w:rPr>
          <w:rFonts w:ascii="Verdana" w:hAnsi="Verdana"/>
          <w:sz w:val="20"/>
          <w:lang w:val="sv-SE"/>
        </w:rPr>
      </w:pPr>
      <w:bookmarkStart w:id="0" w:name="_Toc67563805"/>
      <w:r w:rsidRPr="009621FA">
        <w:rPr>
          <w:rFonts w:ascii="Verdana" w:hAnsi="Verdana"/>
          <w:sz w:val="20"/>
          <w:lang w:val="sv-SE"/>
        </w:rPr>
        <w:lastRenderedPageBreak/>
        <w:t>I</w:t>
      </w:r>
      <w:bookmarkEnd w:id="0"/>
      <w:r w:rsidR="00261F4A" w:rsidRPr="009621FA">
        <w:rPr>
          <w:rFonts w:ascii="Verdana" w:hAnsi="Verdana"/>
          <w:sz w:val="20"/>
          <w:lang w:val="sv-SE"/>
        </w:rPr>
        <w:t>ntroduktion</w:t>
      </w:r>
    </w:p>
    <w:p w14:paraId="5EBCC8DC" w14:textId="4230D4DE" w:rsidR="0082672A" w:rsidRPr="009621FA" w:rsidRDefault="00261F4A" w:rsidP="00544CE7">
      <w:pPr>
        <w:jc w:val="both"/>
      </w:pPr>
      <w:r w:rsidRPr="009621FA">
        <w:t xml:space="preserve">Denna rapport beskriver hur CTEK </w:t>
      </w:r>
      <w:proofErr w:type="gramStart"/>
      <w:r w:rsidRPr="009621FA">
        <w:t>ABs</w:t>
      </w:r>
      <w:proofErr w:type="gramEnd"/>
      <w:r w:rsidRPr="009621FA">
        <w:t xml:space="preserve"> riktlinjer för ersättning till koncernledningen (”Ersättningsriktlinjerna”), antagna av årsstämman 202</w:t>
      </w:r>
      <w:r w:rsidR="004241F2">
        <w:t>4</w:t>
      </w:r>
      <w:r w:rsidRPr="009621FA">
        <w:t>, tillämpades under 202</w:t>
      </w:r>
      <w:r w:rsidR="00D21AB6">
        <w:t>4</w:t>
      </w:r>
      <w:r w:rsidRPr="009621FA">
        <w:t xml:space="preserve">. Rapporten innehåller även information om ersättning till </w:t>
      </w:r>
      <w:r w:rsidR="0082672A" w:rsidRPr="009621FA">
        <w:t xml:space="preserve">CTEK </w:t>
      </w:r>
      <w:proofErr w:type="gramStart"/>
      <w:r w:rsidR="0082672A" w:rsidRPr="009621FA">
        <w:t>AB</w:t>
      </w:r>
      <w:r w:rsidRPr="009621FA">
        <w:t>s</w:t>
      </w:r>
      <w:proofErr w:type="gramEnd"/>
      <w:r w:rsidRPr="009621FA">
        <w:t xml:space="preserve"> verkställande direktör samt en sammanfattning av bolagets utestående aktie</w:t>
      </w:r>
      <w:r w:rsidR="0082672A" w:rsidRPr="009621FA">
        <w:t>-</w:t>
      </w:r>
      <w:r w:rsidRPr="009621FA">
        <w:t xml:space="preserve"> och aktiekursrelaterade incitamentsprogram. Rapporten har upprättats i</w:t>
      </w:r>
      <w:r w:rsidR="002E5E52" w:rsidRPr="009621FA">
        <w:t xml:space="preserve"> </w:t>
      </w:r>
      <w:r w:rsidRPr="009621FA">
        <w:t xml:space="preserve">enlighet med 8 kap. 53 a och 53 b §§ aktiebolagslagen och Kollegiet för svensk bolagsstyrning Regler om ersättningar till ledande befattningshavare och om incitamentsprogram. Ytterligare information om ersättningar till ledande befattningshavare i enlighet med 5 kap. 40–44 §§ i årsredovisningslagen (1995:1554) finns i not </w:t>
      </w:r>
      <w:r w:rsidR="00933872" w:rsidRPr="009621FA">
        <w:t>6</w:t>
      </w:r>
      <w:r w:rsidRPr="009621FA">
        <w:t xml:space="preserve"> i bolagets årsredovisning för 202</w:t>
      </w:r>
      <w:r w:rsidR="00D21AB6">
        <w:t>4</w:t>
      </w:r>
      <w:r w:rsidRPr="009621FA">
        <w:t xml:space="preserve"> (”årsredovisningen 202</w:t>
      </w:r>
      <w:r w:rsidR="00D21AB6">
        <w:t>4</w:t>
      </w:r>
      <w:r w:rsidRPr="009621FA">
        <w:t>”). Information om ersättningsutskottets arbete under 202</w:t>
      </w:r>
      <w:r w:rsidR="00D21AB6">
        <w:t>4</w:t>
      </w:r>
      <w:r w:rsidRPr="009621FA">
        <w:t xml:space="preserve"> finns i bolagsstyrningsrapporten i årsredovisningen 202</w:t>
      </w:r>
      <w:r w:rsidR="00D21AB6">
        <w:t>4</w:t>
      </w:r>
      <w:r w:rsidRPr="009621FA">
        <w:t>.</w:t>
      </w:r>
    </w:p>
    <w:p w14:paraId="7F7F01E8" w14:textId="3890DCB2" w:rsidR="00261F4A" w:rsidRDefault="00261F4A" w:rsidP="00544CE7">
      <w:pPr>
        <w:jc w:val="both"/>
      </w:pPr>
      <w:r w:rsidRPr="009621FA">
        <w:t xml:space="preserve">Styrelsearvode omfattas inte av denna rapport. Sådant arvode beslutas årligen av årsstämman och redovisas i not </w:t>
      </w:r>
      <w:r w:rsidR="00256B56" w:rsidRPr="009621FA">
        <w:t>6</w:t>
      </w:r>
      <w:r w:rsidRPr="009621FA">
        <w:t xml:space="preserve"> i årsredovisningen 202</w:t>
      </w:r>
      <w:r w:rsidR="00D21AB6">
        <w:t>4</w:t>
      </w:r>
      <w:r w:rsidRPr="009621FA">
        <w:t>.</w:t>
      </w:r>
    </w:p>
    <w:p w14:paraId="361F9F6C" w14:textId="082DCC4B" w:rsidR="00C61EC8" w:rsidRPr="009621FA" w:rsidRDefault="00C61EC8" w:rsidP="00544CE7">
      <w:pPr>
        <w:jc w:val="both"/>
      </w:pPr>
      <w:r>
        <w:t>Inga synpunkter framfördes av aktieägarna i samband med att årsstämman 2024 godkände ersättningsrapporten för 2023.</w:t>
      </w:r>
    </w:p>
    <w:p w14:paraId="2CDF1D7A" w14:textId="56187594" w:rsidR="002E3905" w:rsidRPr="009621FA" w:rsidRDefault="00363217" w:rsidP="00A37BD6">
      <w:pPr>
        <w:pStyle w:val="Heading1"/>
        <w:keepLines/>
        <w:numPr>
          <w:ilvl w:val="0"/>
          <w:numId w:val="0"/>
        </w:numPr>
        <w:spacing w:before="480" w:after="240"/>
        <w:ind w:left="720" w:hanging="720"/>
        <w:rPr>
          <w:rFonts w:ascii="Verdana" w:hAnsi="Verdana"/>
          <w:sz w:val="20"/>
          <w:lang w:val="sv-SE"/>
        </w:rPr>
      </w:pPr>
      <w:r w:rsidRPr="009621FA">
        <w:rPr>
          <w:rFonts w:ascii="Verdana" w:hAnsi="Verdana"/>
          <w:sz w:val="20"/>
          <w:lang w:val="sv-SE"/>
        </w:rPr>
        <w:t>Utveckling under 202</w:t>
      </w:r>
      <w:r w:rsidR="00D21AB6">
        <w:rPr>
          <w:rFonts w:ascii="Verdana" w:hAnsi="Verdana"/>
          <w:sz w:val="20"/>
          <w:lang w:val="sv-SE"/>
        </w:rPr>
        <w:t>4</w:t>
      </w:r>
    </w:p>
    <w:p w14:paraId="15DA0482" w14:textId="68292D86" w:rsidR="00D51FAE" w:rsidRPr="009621FA" w:rsidRDefault="00363217" w:rsidP="00701D87">
      <w:pPr>
        <w:jc w:val="both"/>
      </w:pPr>
      <w:r w:rsidRPr="009621FA">
        <w:t>Verkställande direktören sammanfattar bolagets övergripande resultat i sin redogörelse på sid</w:t>
      </w:r>
      <w:r w:rsidR="001815F6">
        <w:t xml:space="preserve">an </w:t>
      </w:r>
      <w:r w:rsidR="00C915ED">
        <w:t>5</w:t>
      </w:r>
      <w:r w:rsidRPr="009621FA">
        <w:t xml:space="preserve"> i årsredovisningen 202</w:t>
      </w:r>
      <w:r w:rsidR="00D21AB6">
        <w:t>4</w:t>
      </w:r>
      <w:r w:rsidRPr="009621FA">
        <w:t>.</w:t>
      </w:r>
    </w:p>
    <w:p w14:paraId="51357FBA" w14:textId="03DEBFA0" w:rsidR="0020299A" w:rsidRPr="009621FA" w:rsidRDefault="00363217" w:rsidP="00A37BD6">
      <w:pPr>
        <w:pStyle w:val="Heading1"/>
        <w:numPr>
          <w:ilvl w:val="0"/>
          <w:numId w:val="0"/>
        </w:numPr>
        <w:ind w:left="720" w:hanging="720"/>
        <w:rPr>
          <w:rFonts w:ascii="Verdana" w:hAnsi="Verdana"/>
          <w:sz w:val="20"/>
          <w:lang w:val="sv-SE"/>
        </w:rPr>
      </w:pPr>
      <w:r w:rsidRPr="009621FA">
        <w:rPr>
          <w:rFonts w:ascii="Verdana" w:hAnsi="Verdana"/>
          <w:sz w:val="20"/>
          <w:lang w:val="sv-SE"/>
        </w:rPr>
        <w:t>Översikt över tillämpningen av riktlinjerna för ersättning 202</w:t>
      </w:r>
      <w:r w:rsidR="00D21AB6">
        <w:rPr>
          <w:rFonts w:ascii="Verdana" w:hAnsi="Verdana"/>
          <w:sz w:val="20"/>
          <w:lang w:val="sv-SE"/>
        </w:rPr>
        <w:t>4</w:t>
      </w:r>
    </w:p>
    <w:p w14:paraId="4AB1A99E" w14:textId="41508375" w:rsidR="002E1C56" w:rsidRPr="00D21AB6" w:rsidRDefault="00363217" w:rsidP="00363217">
      <w:pPr>
        <w:jc w:val="both"/>
      </w:pPr>
      <w:r w:rsidRPr="00D21AB6">
        <w:t xml:space="preserve">Ersättningsriktlinjerna avser att säkerställa att </w:t>
      </w:r>
      <w:r w:rsidR="00544CE7" w:rsidRPr="00D21AB6">
        <w:t>CTEK AB</w:t>
      </w:r>
      <w:r w:rsidRPr="00D21AB6">
        <w:t xml:space="preserve"> kan</w:t>
      </w:r>
      <w:r w:rsidR="00544CE7" w:rsidRPr="00D21AB6">
        <w:t xml:space="preserve"> </w:t>
      </w:r>
      <w:r w:rsidRPr="00D21AB6">
        <w:t>attrahera</w:t>
      </w:r>
      <w:r w:rsidR="004552BA" w:rsidRPr="00D21AB6">
        <w:rPr>
          <w:rFonts w:cs="Segoe UI"/>
          <w:color w:val="0D0D0D"/>
          <w:shd w:val="clear" w:color="auto" w:fill="FFFFFF"/>
        </w:rPr>
        <w:t xml:space="preserve"> och </w:t>
      </w:r>
      <w:r w:rsidR="004552BA" w:rsidRPr="00D21AB6">
        <w:rPr>
          <w:rFonts w:cs="Segoe UI"/>
          <w:color w:val="000000" w:themeColor="text1"/>
          <w:shd w:val="clear" w:color="auto" w:fill="FFFFFF"/>
        </w:rPr>
        <w:t xml:space="preserve">behålla högkvalificerad personal </w:t>
      </w:r>
      <w:r w:rsidR="00D112FC" w:rsidRPr="00D21AB6">
        <w:rPr>
          <w:rFonts w:cs="Segoe UI"/>
          <w:color w:val="000000" w:themeColor="text1"/>
          <w:shd w:val="clear" w:color="auto" w:fill="FFFFFF"/>
        </w:rPr>
        <w:t>på</w:t>
      </w:r>
      <w:r w:rsidR="004552BA" w:rsidRPr="00D21AB6">
        <w:rPr>
          <w:rFonts w:cs="Segoe UI"/>
          <w:color w:val="000000" w:themeColor="text1"/>
          <w:shd w:val="clear" w:color="auto" w:fill="FFFFFF"/>
        </w:rPr>
        <w:t xml:space="preserve"> marknaden</w:t>
      </w:r>
      <w:r w:rsidRPr="00D21AB6">
        <w:rPr>
          <w:color w:val="000000" w:themeColor="text1"/>
        </w:rPr>
        <w:t xml:space="preserve"> </w:t>
      </w:r>
      <w:r w:rsidR="00F4736D" w:rsidRPr="00D21AB6">
        <w:t>som ska</w:t>
      </w:r>
      <w:r w:rsidR="00F55634" w:rsidRPr="00D21AB6">
        <w:t>ll</w:t>
      </w:r>
      <w:r w:rsidR="00F4736D" w:rsidRPr="00D21AB6">
        <w:t xml:space="preserve"> </w:t>
      </w:r>
      <w:r w:rsidRPr="00D21AB6">
        <w:t>bidra till</w:t>
      </w:r>
      <w:r w:rsidR="00F4736D" w:rsidRPr="00D21AB6">
        <w:t xml:space="preserve"> </w:t>
      </w:r>
      <w:r w:rsidR="00F4736D" w:rsidRPr="00D21AB6">
        <w:rPr>
          <w:color w:val="000000" w:themeColor="text1"/>
        </w:rPr>
        <w:t xml:space="preserve">att genomföra </w:t>
      </w:r>
      <w:r w:rsidR="00544CE7" w:rsidRPr="00D21AB6">
        <w:t xml:space="preserve">CTEK </w:t>
      </w:r>
      <w:proofErr w:type="gramStart"/>
      <w:r w:rsidR="00544CE7" w:rsidRPr="00D21AB6">
        <w:t>ABs</w:t>
      </w:r>
      <w:proofErr w:type="gramEnd"/>
      <w:r w:rsidRPr="00D21AB6">
        <w:t xml:space="preserve"> affärsidé och strategi, dess</w:t>
      </w:r>
      <w:r w:rsidR="00544CE7" w:rsidRPr="00D21AB6">
        <w:t xml:space="preserve"> </w:t>
      </w:r>
      <w:r w:rsidRPr="00D21AB6">
        <w:t>långsiktiga</w:t>
      </w:r>
      <w:r w:rsidR="00F4736D" w:rsidRPr="00D21AB6">
        <w:t xml:space="preserve"> </w:t>
      </w:r>
      <w:r w:rsidR="00F4736D" w:rsidRPr="00D21AB6">
        <w:rPr>
          <w:color w:val="000000" w:themeColor="text1"/>
        </w:rPr>
        <w:t>och hållbara</w:t>
      </w:r>
      <w:r w:rsidRPr="00D21AB6">
        <w:rPr>
          <w:color w:val="000000" w:themeColor="text1"/>
        </w:rPr>
        <w:t xml:space="preserve"> intressen</w:t>
      </w:r>
      <w:r w:rsidR="00057535" w:rsidRPr="00D21AB6">
        <w:rPr>
          <w:color w:val="000000" w:themeColor="text1"/>
        </w:rPr>
        <w:t xml:space="preserve">. </w:t>
      </w:r>
      <w:r w:rsidRPr="00D21AB6">
        <w:t>Ersättning till medlem i koncernledningen ska utformas efter marknadsmässiga villkor och</w:t>
      </w:r>
      <w:r w:rsidR="00544CE7" w:rsidRPr="00D21AB6">
        <w:t xml:space="preserve"> </w:t>
      </w:r>
      <w:r w:rsidRPr="00D21AB6">
        <w:t xml:space="preserve">samtidigt stödja </w:t>
      </w:r>
      <w:r w:rsidR="00D112FC" w:rsidRPr="00D21AB6">
        <w:rPr>
          <w:color w:val="000000" w:themeColor="text1"/>
        </w:rPr>
        <w:t>aktieägarnas intresse.</w:t>
      </w:r>
      <w:r w:rsidRPr="00D21AB6">
        <w:rPr>
          <w:color w:val="000000" w:themeColor="text1"/>
        </w:rPr>
        <w:t xml:space="preserve"> </w:t>
      </w:r>
      <w:r w:rsidRPr="00D21AB6">
        <w:t>Rörlig kontantersättning som omfattas av dessa riktlinjer ska vara kopplad till förutbestämda och</w:t>
      </w:r>
      <w:r w:rsidR="00544CE7" w:rsidRPr="00D21AB6">
        <w:t xml:space="preserve"> </w:t>
      </w:r>
      <w:r w:rsidRPr="00D21AB6">
        <w:t xml:space="preserve">mätbara kriterier, som syftar till att främja </w:t>
      </w:r>
      <w:r w:rsidR="00544CE7" w:rsidRPr="00D21AB6">
        <w:t xml:space="preserve">CTEK </w:t>
      </w:r>
      <w:proofErr w:type="gramStart"/>
      <w:r w:rsidR="00544CE7" w:rsidRPr="00D21AB6">
        <w:t>ABs</w:t>
      </w:r>
      <w:proofErr w:type="gramEnd"/>
      <w:r w:rsidRPr="00D21AB6">
        <w:t xml:space="preserve"> affärsstrategi och långsiktiga intressen, inklusive dess hållbarhet. Den totala ersättningen till medlem i koncernledningen ska bestå av följande komponenter: fast lön, rörlig lön, pensionsförmåner,</w:t>
      </w:r>
      <w:r w:rsidR="00387644" w:rsidRPr="00D21AB6">
        <w:t xml:space="preserve"> </w:t>
      </w:r>
      <w:r w:rsidRPr="00D21AB6">
        <w:t xml:space="preserve">samt övriga förmåner såsom </w:t>
      </w:r>
      <w:r w:rsidR="00726248" w:rsidRPr="00D21AB6">
        <w:t xml:space="preserve">till exempel </w:t>
      </w:r>
      <w:r w:rsidRPr="00D21AB6">
        <w:t>tjänstebil. Ersättningsriktlinjerna finns</w:t>
      </w:r>
      <w:r w:rsidR="00CF2026" w:rsidRPr="00D21AB6">
        <w:t xml:space="preserve"> </w:t>
      </w:r>
      <w:r w:rsidRPr="00D21AB6">
        <w:t>på www.</w:t>
      </w:r>
      <w:r w:rsidR="00387644" w:rsidRPr="00D21AB6">
        <w:t>ctekgroup</w:t>
      </w:r>
      <w:r w:rsidRPr="00D21AB6">
        <w:t xml:space="preserve">.com. </w:t>
      </w:r>
    </w:p>
    <w:p w14:paraId="2FC2A3FD" w14:textId="01774662" w:rsidR="00FD6636" w:rsidRPr="00D21AB6" w:rsidRDefault="006A6CCE" w:rsidP="00FD6636">
      <w:pPr>
        <w:jc w:val="both"/>
      </w:pPr>
      <w:r w:rsidRPr="00D21AB6">
        <w:t>Grunden för ersättningar under 202</w:t>
      </w:r>
      <w:r w:rsidR="00D21AB6">
        <w:t>4</w:t>
      </w:r>
      <w:r w:rsidRPr="00D21AB6">
        <w:t xml:space="preserve"> har utgått från de av årsstämman antagna riktlinjerna</w:t>
      </w:r>
      <w:r w:rsidR="00D112FC" w:rsidRPr="00D21AB6">
        <w:t xml:space="preserve"> </w:t>
      </w:r>
      <w:r w:rsidRPr="00D21AB6">
        <w:t>202</w:t>
      </w:r>
      <w:r w:rsidR="004241F2">
        <w:t>4</w:t>
      </w:r>
      <w:r w:rsidRPr="00D21AB6">
        <w:t xml:space="preserve">. Inga </w:t>
      </w:r>
      <w:r w:rsidR="00FD6636" w:rsidRPr="00D21AB6">
        <w:t>avsteg från riktlinjerna</w:t>
      </w:r>
      <w:r w:rsidRPr="00D21AB6">
        <w:t xml:space="preserve"> har</w:t>
      </w:r>
      <w:r w:rsidR="00FD6636" w:rsidRPr="00D21AB6">
        <w:t xml:space="preserve"> gjorts. </w:t>
      </w:r>
      <w:r w:rsidR="00E434DC" w:rsidRPr="00D21AB6">
        <w:t>Inga avvikelser har gjorts från den beslutsprocess som enligt riktlinjerna ska tillämpas för att fastställa ersättningen.</w:t>
      </w:r>
      <w:r w:rsidR="00FD6636" w:rsidRPr="00D21AB6">
        <w:t xml:space="preserve"> Revisorns yttrande över bolagets efterlevnad av riktlinjerna finns tillgänglig på www.ctekgroup.com. </w:t>
      </w:r>
    </w:p>
    <w:p w14:paraId="4DE9B9C2" w14:textId="2EAF109E" w:rsidR="00CC5C76" w:rsidRPr="00D21AB6" w:rsidRDefault="00363217" w:rsidP="00CC5C76">
      <w:pPr>
        <w:jc w:val="both"/>
      </w:pPr>
      <w:r w:rsidRPr="00D21AB6">
        <w:t xml:space="preserve">Utöver den ersättning som omfattas av Ersättningsriktlinjerna har bolagets </w:t>
      </w:r>
      <w:r w:rsidR="00163DBA" w:rsidRPr="00D21AB6">
        <w:t>bolagsstämmor</w:t>
      </w:r>
      <w:r w:rsidRPr="00D21AB6">
        <w:t xml:space="preserve"> beslutat att införa </w:t>
      </w:r>
      <w:r w:rsidR="002E1C56" w:rsidRPr="00D21AB6">
        <w:t>aktie- och aktiekursrelaterade ersättningar, vilket utformas i långsiktiga incitamentsprogram (LTI).</w:t>
      </w:r>
      <w:r w:rsidRPr="00D21AB6">
        <w:t xml:space="preserve"> </w:t>
      </w:r>
    </w:p>
    <w:p w14:paraId="3CABF931" w14:textId="2C83A119" w:rsidR="00CC5C76" w:rsidRDefault="00CC5C76" w:rsidP="00CC5C76">
      <w:pPr>
        <w:jc w:val="both"/>
      </w:pPr>
    </w:p>
    <w:p w14:paraId="50C7FCD2" w14:textId="75DC1AC9" w:rsidR="00CC5C76" w:rsidRDefault="00CC5C76" w:rsidP="00CC5C76">
      <w:pPr>
        <w:jc w:val="both"/>
      </w:pPr>
    </w:p>
    <w:p w14:paraId="76B305B0" w14:textId="77777777" w:rsidR="006A6CCE" w:rsidRDefault="006A6CCE" w:rsidP="00594C9A"/>
    <w:p w14:paraId="5452920F" w14:textId="395DE93D" w:rsidR="00A37BD6" w:rsidRPr="00C30CCC" w:rsidRDefault="00A37BD6" w:rsidP="00A37BD6">
      <w:pPr>
        <w:pStyle w:val="Heading1"/>
        <w:numPr>
          <w:ilvl w:val="0"/>
          <w:numId w:val="0"/>
        </w:numPr>
        <w:ind w:left="720" w:hanging="720"/>
        <w:rPr>
          <w:rFonts w:ascii="Verdana" w:hAnsi="Verdana"/>
          <w:sz w:val="18"/>
          <w:szCs w:val="10"/>
          <w:lang w:val="sv-SE"/>
        </w:rPr>
      </w:pPr>
      <w:r w:rsidRPr="00C30CCC">
        <w:rPr>
          <w:rFonts w:ascii="Verdana" w:hAnsi="Verdana"/>
          <w:sz w:val="18"/>
          <w:szCs w:val="10"/>
          <w:lang w:val="sv-SE"/>
        </w:rPr>
        <w:lastRenderedPageBreak/>
        <w:t>Total ersät</w:t>
      </w:r>
      <w:r w:rsidR="00CC5C76" w:rsidRPr="00C30CCC">
        <w:rPr>
          <w:rFonts w:ascii="Verdana" w:hAnsi="Verdana"/>
          <w:sz w:val="18"/>
          <w:szCs w:val="10"/>
          <w:lang w:val="sv-SE"/>
        </w:rPr>
        <w:t>t</w:t>
      </w:r>
      <w:r w:rsidRPr="00C30CCC">
        <w:rPr>
          <w:rFonts w:ascii="Verdana" w:hAnsi="Verdana"/>
          <w:sz w:val="18"/>
          <w:szCs w:val="10"/>
          <w:lang w:val="sv-SE"/>
        </w:rPr>
        <w:t>ning till verkställande direktör</w:t>
      </w:r>
    </w:p>
    <w:p w14:paraId="616A1C2A" w14:textId="0A317D25" w:rsidR="006B0CBE" w:rsidRDefault="001B018F" w:rsidP="000631E4">
      <w:pPr>
        <w:jc w:val="both"/>
      </w:pPr>
      <w:r w:rsidRPr="009621FA">
        <w:t xml:space="preserve">Tabell 1 nedan redovisar den totala ersättningen som </w:t>
      </w:r>
      <w:r w:rsidR="001A5283">
        <w:t>utbetalats till</w:t>
      </w:r>
      <w:r w:rsidRPr="009621FA">
        <w:t xml:space="preserve"> CTEK </w:t>
      </w:r>
      <w:proofErr w:type="gramStart"/>
      <w:r w:rsidRPr="009621FA">
        <w:t>ABs</w:t>
      </w:r>
      <w:proofErr w:type="gramEnd"/>
      <w:r w:rsidRPr="009621FA">
        <w:t xml:space="preserve"> verkställande direktör</w:t>
      </w:r>
      <w:r w:rsidR="001A5283">
        <w:t>er</w:t>
      </w:r>
      <w:r w:rsidRPr="009621FA">
        <w:t xml:space="preserve"> under 202</w:t>
      </w:r>
      <w:r w:rsidR="00D21AB6">
        <w:t>4</w:t>
      </w:r>
      <w:r w:rsidR="00381A40">
        <w:t>.</w:t>
      </w:r>
    </w:p>
    <w:p w14:paraId="42A5A22F" w14:textId="0F615FAA" w:rsidR="000227DE" w:rsidRPr="007E4444" w:rsidRDefault="007E4444" w:rsidP="007E4444">
      <w:pPr>
        <w:rPr>
          <w:sz w:val="14"/>
          <w:szCs w:val="16"/>
        </w:rPr>
      </w:pPr>
      <w:r w:rsidRPr="00A2227E">
        <w:rPr>
          <w:sz w:val="14"/>
          <w:szCs w:val="16"/>
        </w:rPr>
        <w:t>Tabell 1</w:t>
      </w:r>
      <w:r w:rsidR="00D20108">
        <w:rPr>
          <w:sz w:val="14"/>
          <w:szCs w:val="16"/>
        </w:rPr>
        <w:t xml:space="preserve"> (MSEK)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600"/>
        <w:gridCol w:w="1134"/>
        <w:gridCol w:w="1872"/>
        <w:gridCol w:w="1362"/>
        <w:gridCol w:w="1456"/>
        <w:gridCol w:w="694"/>
        <w:gridCol w:w="924"/>
      </w:tblGrid>
      <w:tr w:rsidR="001A5283" w:rsidRPr="000227DE" w14:paraId="2DFAB6A5" w14:textId="77777777" w:rsidTr="005C7D6E">
        <w:trPr>
          <w:trHeight w:val="568"/>
        </w:trPr>
        <w:tc>
          <w:tcPr>
            <w:tcW w:w="885" w:type="pct"/>
            <w:shd w:val="clear" w:color="000000" w:fill="EEECE1"/>
            <w:noWrap/>
            <w:vAlign w:val="center"/>
            <w:hideMark/>
          </w:tcPr>
          <w:p w14:paraId="2B73F45E" w14:textId="77777777" w:rsidR="001A5283" w:rsidRDefault="001A5283" w:rsidP="00997280">
            <w:pPr>
              <w:spacing w:after="0"/>
              <w:rPr>
                <w:rFonts w:eastAsia="Times New Roman" w:cs="Times New Roman"/>
                <w:color w:val="000000"/>
                <w:sz w:val="12"/>
                <w:szCs w:val="12"/>
                <w:lang w:eastAsia="sv-SE"/>
              </w:rPr>
            </w:pPr>
            <w:r>
              <w:rPr>
                <w:rFonts w:eastAsia="Times New Roman" w:cs="Times New Roman"/>
                <w:color w:val="000000"/>
                <w:sz w:val="12"/>
                <w:szCs w:val="12"/>
                <w:lang w:eastAsia="sv-SE"/>
              </w:rPr>
              <w:t>Verkställande</w:t>
            </w:r>
          </w:p>
          <w:p w14:paraId="6FB95202" w14:textId="06D2364C" w:rsidR="001A5283" w:rsidRPr="00C30CCC" w:rsidRDefault="001A5283" w:rsidP="00997280">
            <w:pPr>
              <w:spacing w:after="0"/>
              <w:rPr>
                <w:rFonts w:eastAsia="Times New Roman" w:cs="Times New Roman"/>
                <w:color w:val="000000"/>
                <w:sz w:val="12"/>
                <w:szCs w:val="12"/>
                <w:lang w:eastAsia="sv-SE"/>
              </w:rPr>
            </w:pPr>
            <w:r>
              <w:rPr>
                <w:rFonts w:eastAsia="Times New Roman" w:cs="Times New Roman"/>
                <w:color w:val="000000"/>
                <w:sz w:val="12"/>
                <w:szCs w:val="12"/>
                <w:lang w:eastAsia="sv-SE"/>
              </w:rPr>
              <w:t>direktörens namn</w:t>
            </w:r>
          </w:p>
        </w:tc>
        <w:tc>
          <w:tcPr>
            <w:tcW w:w="627" w:type="pct"/>
            <w:shd w:val="clear" w:color="000000" w:fill="EEECE1"/>
            <w:noWrap/>
            <w:vAlign w:val="center"/>
            <w:hideMark/>
          </w:tcPr>
          <w:p w14:paraId="338BFB82" w14:textId="77777777" w:rsidR="001A5283" w:rsidRPr="00C30CCC" w:rsidRDefault="001A5283" w:rsidP="00997280">
            <w:pPr>
              <w:spacing w:after="0"/>
              <w:rPr>
                <w:rFonts w:eastAsia="Times New Roman" w:cs="Times New Roman"/>
                <w:color w:val="000000"/>
                <w:sz w:val="12"/>
                <w:szCs w:val="12"/>
                <w:lang w:eastAsia="sv-SE"/>
              </w:rPr>
            </w:pPr>
            <w:r w:rsidRPr="00C30CCC">
              <w:rPr>
                <w:rFonts w:eastAsia="Times New Roman" w:cs="Times New Roman"/>
                <w:color w:val="000000"/>
                <w:sz w:val="12"/>
                <w:szCs w:val="12"/>
                <w:lang w:eastAsia="sv-SE"/>
              </w:rPr>
              <w:t>Fast Grundlön</w:t>
            </w:r>
          </w:p>
        </w:tc>
        <w:tc>
          <w:tcPr>
            <w:tcW w:w="1035" w:type="pct"/>
            <w:shd w:val="clear" w:color="000000" w:fill="EEECE1"/>
            <w:noWrap/>
            <w:vAlign w:val="center"/>
            <w:hideMark/>
          </w:tcPr>
          <w:p w14:paraId="1C3C8079" w14:textId="3A50B4D7" w:rsidR="001A5283" w:rsidRPr="00C30CCC" w:rsidRDefault="001A5283" w:rsidP="00997280">
            <w:pPr>
              <w:spacing w:after="0"/>
              <w:rPr>
                <w:rFonts w:eastAsia="Times New Roman" w:cs="Times New Roman"/>
                <w:color w:val="000000"/>
                <w:sz w:val="12"/>
                <w:szCs w:val="12"/>
                <w:lang w:eastAsia="sv-SE"/>
              </w:rPr>
            </w:pPr>
            <w:r w:rsidRPr="00C30CCC">
              <w:rPr>
                <w:rFonts w:eastAsia="Times New Roman" w:cs="Times New Roman"/>
                <w:color w:val="000000"/>
                <w:sz w:val="12"/>
                <w:szCs w:val="12"/>
                <w:lang w:eastAsia="sv-SE"/>
              </w:rPr>
              <w:t>Kontant rörlig ersättning</w:t>
            </w:r>
          </w:p>
        </w:tc>
        <w:tc>
          <w:tcPr>
            <w:tcW w:w="753" w:type="pct"/>
            <w:shd w:val="clear" w:color="000000" w:fill="EEECE1"/>
            <w:noWrap/>
            <w:vAlign w:val="center"/>
            <w:hideMark/>
          </w:tcPr>
          <w:p w14:paraId="5F53F078" w14:textId="51C6DB33" w:rsidR="001A5283" w:rsidRPr="00C30CCC" w:rsidRDefault="001A5283" w:rsidP="00997280">
            <w:pPr>
              <w:spacing w:after="0"/>
              <w:rPr>
                <w:rFonts w:eastAsia="Times New Roman" w:cs="Times New Roman"/>
                <w:color w:val="000000"/>
                <w:sz w:val="12"/>
                <w:szCs w:val="12"/>
                <w:lang w:eastAsia="sv-SE"/>
              </w:rPr>
            </w:pPr>
            <w:r w:rsidRPr="00C30CCC">
              <w:rPr>
                <w:rFonts w:eastAsia="Times New Roman" w:cs="Times New Roman"/>
                <w:color w:val="000000"/>
                <w:sz w:val="12"/>
                <w:szCs w:val="12"/>
                <w:lang w:eastAsia="sv-SE"/>
              </w:rPr>
              <w:t>Övriga förmåner</w:t>
            </w:r>
            <w:r w:rsidRPr="00C30CCC">
              <w:rPr>
                <w:rStyle w:val="FootnoteReference"/>
                <w:rFonts w:eastAsia="Times New Roman" w:cs="Times New Roman"/>
                <w:color w:val="000000"/>
                <w:sz w:val="12"/>
                <w:szCs w:val="12"/>
                <w:lang w:eastAsia="sv-SE"/>
              </w:rPr>
              <w:footnoteReference w:id="2"/>
            </w:r>
          </w:p>
        </w:tc>
        <w:tc>
          <w:tcPr>
            <w:tcW w:w="805" w:type="pct"/>
            <w:shd w:val="clear" w:color="000000" w:fill="EEECE1"/>
            <w:noWrap/>
            <w:vAlign w:val="center"/>
            <w:hideMark/>
          </w:tcPr>
          <w:p w14:paraId="323D0E33" w14:textId="77777777" w:rsidR="001A5283" w:rsidRPr="00C30CCC" w:rsidRDefault="001A5283" w:rsidP="00997280">
            <w:pPr>
              <w:spacing w:after="0"/>
              <w:rPr>
                <w:rFonts w:eastAsia="Times New Roman" w:cs="Times New Roman"/>
                <w:color w:val="000000"/>
                <w:sz w:val="12"/>
                <w:szCs w:val="12"/>
                <w:lang w:eastAsia="sv-SE"/>
              </w:rPr>
            </w:pPr>
            <w:r w:rsidRPr="00C30CCC">
              <w:rPr>
                <w:rFonts w:eastAsia="Times New Roman" w:cs="Times New Roman"/>
                <w:color w:val="000000"/>
                <w:sz w:val="12"/>
                <w:szCs w:val="12"/>
                <w:lang w:eastAsia="sv-SE"/>
              </w:rPr>
              <w:t>Pensionskostnader</w:t>
            </w:r>
          </w:p>
        </w:tc>
        <w:tc>
          <w:tcPr>
            <w:tcW w:w="384" w:type="pct"/>
            <w:shd w:val="clear" w:color="000000" w:fill="EEECE1"/>
            <w:noWrap/>
            <w:vAlign w:val="center"/>
            <w:hideMark/>
          </w:tcPr>
          <w:p w14:paraId="6B5695DD" w14:textId="77777777" w:rsidR="001A5283" w:rsidRPr="00C30CCC" w:rsidRDefault="001A5283" w:rsidP="00997280">
            <w:pPr>
              <w:spacing w:after="0"/>
              <w:rPr>
                <w:rFonts w:eastAsia="Times New Roman" w:cs="Times New Roman"/>
                <w:color w:val="000000"/>
                <w:sz w:val="12"/>
                <w:szCs w:val="12"/>
                <w:lang w:eastAsia="sv-SE"/>
              </w:rPr>
            </w:pPr>
            <w:r w:rsidRPr="00C30CCC">
              <w:rPr>
                <w:rFonts w:eastAsia="Times New Roman" w:cs="Times New Roman"/>
                <w:color w:val="000000"/>
                <w:sz w:val="12"/>
                <w:szCs w:val="12"/>
                <w:lang w:eastAsia="sv-SE"/>
              </w:rPr>
              <w:t>Summa</w:t>
            </w:r>
          </w:p>
        </w:tc>
        <w:tc>
          <w:tcPr>
            <w:tcW w:w="511" w:type="pct"/>
            <w:shd w:val="clear" w:color="000000" w:fill="EEECE1"/>
            <w:vAlign w:val="center"/>
            <w:hideMark/>
          </w:tcPr>
          <w:p w14:paraId="73C0293B" w14:textId="2CC2EA47" w:rsidR="001A5283" w:rsidRPr="00C30CCC" w:rsidRDefault="001A5283" w:rsidP="00997280">
            <w:pPr>
              <w:spacing w:after="0"/>
              <w:rPr>
                <w:rFonts w:eastAsia="Times New Roman" w:cs="Times New Roman"/>
                <w:color w:val="000000"/>
                <w:sz w:val="12"/>
                <w:szCs w:val="12"/>
                <w:lang w:eastAsia="sv-SE"/>
              </w:rPr>
            </w:pPr>
            <w:r w:rsidRPr="00C30CCC">
              <w:rPr>
                <w:rFonts w:eastAsia="Times New Roman" w:cs="Times New Roman"/>
                <w:color w:val="000000"/>
                <w:sz w:val="12"/>
                <w:szCs w:val="12"/>
                <w:lang w:eastAsia="sv-SE"/>
              </w:rPr>
              <w:t xml:space="preserve">Andelen fast </w:t>
            </w:r>
            <w:proofErr w:type="spellStart"/>
            <w:r w:rsidRPr="00C30CCC">
              <w:rPr>
                <w:rFonts w:eastAsia="Times New Roman" w:cs="Times New Roman"/>
                <w:color w:val="000000"/>
                <w:sz w:val="12"/>
                <w:szCs w:val="12"/>
                <w:lang w:eastAsia="sv-SE"/>
              </w:rPr>
              <w:t>resp</w:t>
            </w:r>
            <w:proofErr w:type="spellEnd"/>
            <w:r w:rsidRPr="00C30CCC">
              <w:rPr>
                <w:rFonts w:eastAsia="Times New Roman" w:cs="Times New Roman"/>
                <w:color w:val="000000"/>
                <w:sz w:val="12"/>
                <w:szCs w:val="12"/>
                <w:lang w:eastAsia="sv-SE"/>
              </w:rPr>
              <w:t xml:space="preserve"> rörlig ersättning</w:t>
            </w:r>
            <w:r w:rsidRPr="00C30CCC">
              <w:rPr>
                <w:rStyle w:val="FootnoteReference"/>
                <w:rFonts w:eastAsia="Times New Roman" w:cs="Times New Roman"/>
                <w:color w:val="000000"/>
                <w:sz w:val="12"/>
                <w:szCs w:val="12"/>
                <w:lang w:eastAsia="sv-SE"/>
              </w:rPr>
              <w:footnoteReference w:id="3"/>
            </w:r>
          </w:p>
        </w:tc>
      </w:tr>
      <w:tr w:rsidR="0027054C" w:rsidRPr="000227DE" w14:paraId="457B3808" w14:textId="77777777" w:rsidTr="005C7D6E">
        <w:trPr>
          <w:trHeight w:val="298"/>
        </w:trPr>
        <w:tc>
          <w:tcPr>
            <w:tcW w:w="885" w:type="pct"/>
            <w:shd w:val="clear" w:color="auto" w:fill="auto"/>
            <w:noWrap/>
            <w:vAlign w:val="center"/>
            <w:hideMark/>
          </w:tcPr>
          <w:p w14:paraId="063D9550" w14:textId="7FCB9456" w:rsidR="0027054C" w:rsidRPr="00C30CCC" w:rsidRDefault="0027054C" w:rsidP="0027054C">
            <w:pPr>
              <w:spacing w:after="0"/>
              <w:jc w:val="both"/>
              <w:rPr>
                <w:rFonts w:eastAsia="Times New Roman" w:cs="Times New Roman"/>
                <w:color w:val="000000"/>
                <w:sz w:val="12"/>
                <w:szCs w:val="12"/>
                <w:lang w:eastAsia="sv-SE"/>
              </w:rPr>
            </w:pPr>
            <w:r>
              <w:rPr>
                <w:rFonts w:eastAsia="Times New Roman" w:cs="Times New Roman"/>
                <w:color w:val="000000"/>
                <w:sz w:val="12"/>
                <w:szCs w:val="12"/>
                <w:lang w:eastAsia="sv-SE"/>
              </w:rPr>
              <w:t>Henrik Fagrenius</w:t>
            </w:r>
          </w:p>
        </w:tc>
        <w:tc>
          <w:tcPr>
            <w:tcW w:w="627" w:type="pct"/>
            <w:shd w:val="clear" w:color="auto" w:fill="auto"/>
            <w:noWrap/>
            <w:vAlign w:val="center"/>
            <w:hideMark/>
          </w:tcPr>
          <w:p w14:paraId="0395C87A" w14:textId="3ADCAC6F" w:rsidR="0027054C" w:rsidRPr="00C30CCC" w:rsidRDefault="0027054C" w:rsidP="0027054C">
            <w:pPr>
              <w:spacing w:after="0"/>
              <w:jc w:val="right"/>
              <w:rPr>
                <w:rFonts w:eastAsia="Times New Roman" w:cs="Times New Roman"/>
                <w:color w:val="000000"/>
                <w:sz w:val="12"/>
                <w:szCs w:val="12"/>
                <w:lang w:eastAsia="sv-SE"/>
              </w:rPr>
            </w:pPr>
            <w:r>
              <w:rPr>
                <w:rFonts w:eastAsia="Times New Roman" w:cs="Times New Roman"/>
                <w:color w:val="000000"/>
                <w:sz w:val="12"/>
                <w:szCs w:val="12"/>
                <w:lang w:eastAsia="sv-SE"/>
              </w:rPr>
              <w:t>3,7</w:t>
            </w:r>
          </w:p>
        </w:tc>
        <w:tc>
          <w:tcPr>
            <w:tcW w:w="1035" w:type="pct"/>
            <w:shd w:val="clear" w:color="auto" w:fill="auto"/>
            <w:noWrap/>
            <w:vAlign w:val="center"/>
            <w:hideMark/>
          </w:tcPr>
          <w:p w14:paraId="24389C75" w14:textId="5D17B477" w:rsidR="0027054C" w:rsidRPr="00C30CCC" w:rsidRDefault="001257DC" w:rsidP="0027054C">
            <w:pPr>
              <w:spacing w:after="0"/>
              <w:jc w:val="right"/>
              <w:rPr>
                <w:rFonts w:eastAsia="Times New Roman" w:cs="Times New Roman"/>
                <w:color w:val="000000"/>
                <w:sz w:val="12"/>
                <w:szCs w:val="12"/>
                <w:lang w:eastAsia="sv-SE"/>
              </w:rPr>
            </w:pPr>
            <w:r>
              <w:rPr>
                <w:rFonts w:eastAsia="Times New Roman" w:cs="Times New Roman"/>
                <w:color w:val="000000"/>
                <w:sz w:val="12"/>
                <w:szCs w:val="12"/>
                <w:lang w:eastAsia="sv-SE"/>
              </w:rPr>
              <w:t>0</w:t>
            </w:r>
            <w:r w:rsidR="0027054C">
              <w:rPr>
                <w:rFonts w:eastAsia="Times New Roman" w:cs="Times New Roman"/>
                <w:color w:val="000000"/>
                <w:sz w:val="12"/>
                <w:szCs w:val="12"/>
                <w:lang w:eastAsia="sv-SE"/>
              </w:rPr>
              <w:t>,</w:t>
            </w:r>
            <w:r>
              <w:rPr>
                <w:rFonts w:eastAsia="Times New Roman" w:cs="Times New Roman"/>
                <w:color w:val="000000"/>
                <w:sz w:val="12"/>
                <w:szCs w:val="12"/>
                <w:lang w:eastAsia="sv-SE"/>
              </w:rPr>
              <w:t>6</w:t>
            </w:r>
          </w:p>
        </w:tc>
        <w:tc>
          <w:tcPr>
            <w:tcW w:w="753" w:type="pct"/>
            <w:shd w:val="clear" w:color="auto" w:fill="auto"/>
            <w:noWrap/>
            <w:vAlign w:val="center"/>
            <w:hideMark/>
          </w:tcPr>
          <w:p w14:paraId="117A3AC4" w14:textId="4844C0BC" w:rsidR="0027054C" w:rsidRPr="00C30CCC" w:rsidRDefault="0027054C" w:rsidP="0027054C">
            <w:pPr>
              <w:spacing w:after="0"/>
              <w:jc w:val="right"/>
              <w:rPr>
                <w:rFonts w:eastAsia="Times New Roman" w:cs="Times New Roman"/>
                <w:color w:val="000000"/>
                <w:sz w:val="12"/>
                <w:szCs w:val="12"/>
                <w:lang w:eastAsia="sv-SE"/>
              </w:rPr>
            </w:pPr>
            <w:r>
              <w:rPr>
                <w:rFonts w:eastAsia="Times New Roman" w:cs="Times New Roman"/>
                <w:color w:val="000000"/>
                <w:sz w:val="12"/>
                <w:szCs w:val="12"/>
                <w:lang w:eastAsia="sv-SE"/>
              </w:rPr>
              <w:t>0,1</w:t>
            </w:r>
          </w:p>
        </w:tc>
        <w:tc>
          <w:tcPr>
            <w:tcW w:w="805" w:type="pct"/>
            <w:shd w:val="clear" w:color="auto" w:fill="auto"/>
            <w:noWrap/>
            <w:vAlign w:val="center"/>
            <w:hideMark/>
          </w:tcPr>
          <w:p w14:paraId="192D1AB7" w14:textId="537D7115" w:rsidR="0027054C" w:rsidRPr="00C30CCC" w:rsidRDefault="00C915ED" w:rsidP="0027054C">
            <w:pPr>
              <w:spacing w:after="0"/>
              <w:jc w:val="right"/>
              <w:rPr>
                <w:rFonts w:eastAsia="Times New Roman" w:cs="Times New Roman"/>
                <w:color w:val="000000"/>
                <w:sz w:val="12"/>
                <w:szCs w:val="12"/>
                <w:lang w:eastAsia="sv-SE"/>
              </w:rPr>
            </w:pPr>
            <w:r>
              <w:rPr>
                <w:rFonts w:eastAsia="Times New Roman" w:cs="Times New Roman"/>
                <w:color w:val="000000"/>
                <w:sz w:val="12"/>
                <w:szCs w:val="12"/>
                <w:lang w:eastAsia="sv-SE"/>
              </w:rPr>
              <w:t>1</w:t>
            </w:r>
            <w:r w:rsidR="0027054C">
              <w:rPr>
                <w:rFonts w:eastAsia="Times New Roman" w:cs="Times New Roman"/>
                <w:color w:val="000000"/>
                <w:sz w:val="12"/>
                <w:szCs w:val="12"/>
                <w:lang w:eastAsia="sv-SE"/>
              </w:rPr>
              <w:t>,</w:t>
            </w:r>
            <w:r>
              <w:rPr>
                <w:rFonts w:eastAsia="Times New Roman" w:cs="Times New Roman"/>
                <w:color w:val="000000"/>
                <w:sz w:val="12"/>
                <w:szCs w:val="12"/>
                <w:lang w:eastAsia="sv-SE"/>
              </w:rPr>
              <w:t>2</w:t>
            </w:r>
          </w:p>
        </w:tc>
        <w:tc>
          <w:tcPr>
            <w:tcW w:w="384" w:type="pct"/>
            <w:shd w:val="clear" w:color="auto" w:fill="auto"/>
            <w:noWrap/>
            <w:vAlign w:val="center"/>
            <w:hideMark/>
          </w:tcPr>
          <w:p w14:paraId="7266AA15" w14:textId="6204E340" w:rsidR="0027054C" w:rsidRPr="00C30CCC" w:rsidRDefault="00C915ED" w:rsidP="0027054C">
            <w:pPr>
              <w:spacing w:after="0"/>
              <w:jc w:val="right"/>
              <w:rPr>
                <w:rFonts w:eastAsia="Times New Roman" w:cs="Times New Roman"/>
                <w:color w:val="000000"/>
                <w:sz w:val="12"/>
                <w:szCs w:val="12"/>
                <w:lang w:eastAsia="sv-SE"/>
              </w:rPr>
            </w:pPr>
            <w:r>
              <w:rPr>
                <w:rFonts w:eastAsia="Times New Roman" w:cs="Times New Roman"/>
                <w:color w:val="000000"/>
                <w:sz w:val="12"/>
                <w:szCs w:val="12"/>
                <w:lang w:eastAsia="sv-SE"/>
              </w:rPr>
              <w:t>5</w:t>
            </w:r>
            <w:r w:rsidR="0027054C">
              <w:rPr>
                <w:rFonts w:eastAsia="Times New Roman" w:cs="Times New Roman"/>
                <w:color w:val="000000"/>
                <w:sz w:val="12"/>
                <w:szCs w:val="12"/>
                <w:lang w:eastAsia="sv-SE"/>
              </w:rPr>
              <w:t>,</w:t>
            </w:r>
            <w:r>
              <w:rPr>
                <w:rFonts w:eastAsia="Times New Roman" w:cs="Times New Roman"/>
                <w:color w:val="000000"/>
                <w:sz w:val="12"/>
                <w:szCs w:val="12"/>
                <w:lang w:eastAsia="sv-SE"/>
              </w:rPr>
              <w:t>6</w:t>
            </w:r>
          </w:p>
        </w:tc>
        <w:tc>
          <w:tcPr>
            <w:tcW w:w="511" w:type="pct"/>
            <w:shd w:val="clear" w:color="auto" w:fill="auto"/>
            <w:noWrap/>
            <w:vAlign w:val="center"/>
            <w:hideMark/>
          </w:tcPr>
          <w:p w14:paraId="6797CC08" w14:textId="623A9901" w:rsidR="0027054C" w:rsidRPr="00C30CCC" w:rsidRDefault="00C915ED" w:rsidP="0027054C">
            <w:pPr>
              <w:spacing w:after="0"/>
              <w:jc w:val="center"/>
              <w:rPr>
                <w:rFonts w:eastAsia="Times New Roman" w:cs="Times New Roman"/>
                <w:color w:val="000000"/>
                <w:sz w:val="12"/>
                <w:szCs w:val="12"/>
                <w:lang w:eastAsia="sv-SE"/>
              </w:rPr>
            </w:pPr>
            <w:r>
              <w:rPr>
                <w:rFonts w:eastAsia="Times New Roman" w:cs="Times New Roman"/>
                <w:color w:val="000000"/>
                <w:sz w:val="12"/>
                <w:szCs w:val="12"/>
                <w:lang w:eastAsia="sv-SE"/>
              </w:rPr>
              <w:t>87</w:t>
            </w:r>
            <w:r w:rsidR="0027054C">
              <w:rPr>
                <w:rFonts w:eastAsia="Times New Roman" w:cs="Times New Roman"/>
                <w:color w:val="000000"/>
                <w:sz w:val="12"/>
                <w:szCs w:val="12"/>
                <w:lang w:eastAsia="sv-SE"/>
              </w:rPr>
              <w:t>%/</w:t>
            </w:r>
            <w:r>
              <w:rPr>
                <w:rFonts w:eastAsia="Times New Roman" w:cs="Times New Roman"/>
                <w:color w:val="000000"/>
                <w:sz w:val="12"/>
                <w:szCs w:val="12"/>
                <w:lang w:eastAsia="sv-SE"/>
              </w:rPr>
              <w:t>13</w:t>
            </w:r>
            <w:r w:rsidR="0027054C">
              <w:rPr>
                <w:rFonts w:eastAsia="Times New Roman" w:cs="Times New Roman"/>
                <w:color w:val="000000"/>
                <w:sz w:val="12"/>
                <w:szCs w:val="12"/>
                <w:lang w:eastAsia="sv-SE"/>
              </w:rPr>
              <w:t>%</w:t>
            </w:r>
          </w:p>
        </w:tc>
      </w:tr>
      <w:tr w:rsidR="0027054C" w:rsidRPr="000227DE" w14:paraId="7BACFB9B" w14:textId="77777777" w:rsidTr="005C7D6E">
        <w:trPr>
          <w:trHeight w:val="298"/>
        </w:trPr>
        <w:tc>
          <w:tcPr>
            <w:tcW w:w="885" w:type="pct"/>
            <w:shd w:val="clear" w:color="auto" w:fill="auto"/>
            <w:noWrap/>
            <w:vAlign w:val="center"/>
          </w:tcPr>
          <w:p w14:paraId="01E8F217" w14:textId="071A907F" w:rsidR="0027054C" w:rsidRPr="00C30CCC" w:rsidRDefault="0027054C" w:rsidP="0027054C">
            <w:pPr>
              <w:spacing w:after="0"/>
              <w:jc w:val="both"/>
              <w:rPr>
                <w:rFonts w:eastAsia="Times New Roman" w:cs="Times New Roman"/>
                <w:color w:val="000000"/>
                <w:sz w:val="12"/>
                <w:szCs w:val="12"/>
                <w:lang w:eastAsia="sv-SE"/>
              </w:rPr>
            </w:pPr>
            <w:r w:rsidRPr="00C30CCC">
              <w:rPr>
                <w:rFonts w:eastAsia="Times New Roman" w:cs="Times New Roman"/>
                <w:color w:val="000000"/>
                <w:sz w:val="12"/>
                <w:szCs w:val="12"/>
                <w:lang w:eastAsia="sv-SE"/>
              </w:rPr>
              <w:t>Jon Lind</w:t>
            </w:r>
            <w:r>
              <w:rPr>
                <w:rFonts w:eastAsia="Times New Roman" w:cs="Times New Roman"/>
                <w:color w:val="000000"/>
                <w:sz w:val="12"/>
                <w:szCs w:val="12"/>
                <w:lang w:eastAsia="sv-SE"/>
              </w:rPr>
              <w:t>*</w:t>
            </w:r>
          </w:p>
        </w:tc>
        <w:tc>
          <w:tcPr>
            <w:tcW w:w="627" w:type="pct"/>
            <w:shd w:val="clear" w:color="auto" w:fill="auto"/>
            <w:noWrap/>
            <w:vAlign w:val="center"/>
          </w:tcPr>
          <w:p w14:paraId="609BFAED" w14:textId="49033574" w:rsidR="0027054C" w:rsidRPr="00C30CCC" w:rsidRDefault="0027054C" w:rsidP="0027054C">
            <w:pPr>
              <w:spacing w:after="0"/>
              <w:jc w:val="right"/>
              <w:rPr>
                <w:rFonts w:eastAsia="Times New Roman" w:cs="Times New Roman"/>
                <w:color w:val="000000"/>
                <w:sz w:val="12"/>
                <w:szCs w:val="12"/>
                <w:lang w:eastAsia="sv-SE"/>
              </w:rPr>
            </w:pPr>
            <w:r>
              <w:rPr>
                <w:rFonts w:eastAsia="Times New Roman" w:cs="Times New Roman"/>
                <w:color w:val="000000"/>
                <w:sz w:val="12"/>
                <w:szCs w:val="12"/>
                <w:lang w:eastAsia="sv-SE"/>
              </w:rPr>
              <w:t>0,3</w:t>
            </w:r>
          </w:p>
        </w:tc>
        <w:tc>
          <w:tcPr>
            <w:tcW w:w="1035" w:type="pct"/>
            <w:shd w:val="clear" w:color="auto" w:fill="auto"/>
            <w:noWrap/>
            <w:vAlign w:val="center"/>
          </w:tcPr>
          <w:p w14:paraId="5AF63422" w14:textId="2CD50F08" w:rsidR="0027054C" w:rsidRDefault="0027054C" w:rsidP="0027054C">
            <w:pPr>
              <w:spacing w:after="0"/>
              <w:jc w:val="right"/>
              <w:rPr>
                <w:rFonts w:eastAsia="Times New Roman" w:cs="Times New Roman"/>
                <w:color w:val="000000"/>
                <w:sz w:val="12"/>
                <w:szCs w:val="12"/>
                <w:lang w:eastAsia="sv-SE"/>
              </w:rPr>
            </w:pPr>
            <w:r>
              <w:rPr>
                <w:rFonts w:eastAsia="Times New Roman" w:cs="Times New Roman"/>
                <w:color w:val="000000"/>
                <w:sz w:val="12"/>
                <w:szCs w:val="12"/>
                <w:lang w:eastAsia="sv-SE"/>
              </w:rPr>
              <w:t>-</w:t>
            </w:r>
          </w:p>
        </w:tc>
        <w:tc>
          <w:tcPr>
            <w:tcW w:w="753" w:type="pct"/>
            <w:shd w:val="clear" w:color="auto" w:fill="auto"/>
            <w:noWrap/>
            <w:vAlign w:val="center"/>
          </w:tcPr>
          <w:p w14:paraId="196E027D" w14:textId="33F1E4DF" w:rsidR="0027054C" w:rsidRPr="00C30CCC" w:rsidRDefault="0027054C" w:rsidP="0027054C">
            <w:pPr>
              <w:spacing w:after="0"/>
              <w:jc w:val="right"/>
              <w:rPr>
                <w:rFonts w:eastAsia="Times New Roman" w:cs="Times New Roman"/>
                <w:color w:val="000000"/>
                <w:sz w:val="12"/>
                <w:szCs w:val="12"/>
                <w:lang w:eastAsia="sv-SE"/>
              </w:rPr>
            </w:pPr>
            <w:r>
              <w:rPr>
                <w:rFonts w:eastAsia="Times New Roman" w:cs="Times New Roman"/>
                <w:color w:val="000000"/>
                <w:sz w:val="12"/>
                <w:szCs w:val="12"/>
                <w:lang w:eastAsia="sv-SE"/>
              </w:rPr>
              <w:t>-</w:t>
            </w:r>
          </w:p>
        </w:tc>
        <w:tc>
          <w:tcPr>
            <w:tcW w:w="805" w:type="pct"/>
            <w:shd w:val="clear" w:color="auto" w:fill="auto"/>
            <w:noWrap/>
            <w:vAlign w:val="center"/>
          </w:tcPr>
          <w:p w14:paraId="2C623314" w14:textId="61E6170D" w:rsidR="0027054C" w:rsidRDefault="0027054C" w:rsidP="0027054C">
            <w:pPr>
              <w:spacing w:after="0"/>
              <w:jc w:val="right"/>
              <w:rPr>
                <w:rFonts w:eastAsia="Times New Roman" w:cs="Times New Roman"/>
                <w:color w:val="000000"/>
                <w:sz w:val="12"/>
                <w:szCs w:val="12"/>
                <w:lang w:eastAsia="sv-SE"/>
              </w:rPr>
            </w:pPr>
            <w:r>
              <w:rPr>
                <w:rFonts w:eastAsia="Times New Roman" w:cs="Times New Roman"/>
                <w:color w:val="000000"/>
                <w:sz w:val="12"/>
                <w:szCs w:val="12"/>
                <w:lang w:eastAsia="sv-SE"/>
              </w:rPr>
              <w:t>-</w:t>
            </w:r>
          </w:p>
        </w:tc>
        <w:tc>
          <w:tcPr>
            <w:tcW w:w="384" w:type="pct"/>
            <w:shd w:val="clear" w:color="auto" w:fill="auto"/>
            <w:noWrap/>
            <w:vAlign w:val="center"/>
          </w:tcPr>
          <w:p w14:paraId="4E4E4C8C" w14:textId="09E314AA" w:rsidR="0027054C" w:rsidRDefault="0027054C" w:rsidP="0027054C">
            <w:pPr>
              <w:spacing w:after="0"/>
              <w:jc w:val="right"/>
              <w:rPr>
                <w:rFonts w:eastAsia="Times New Roman" w:cs="Times New Roman"/>
                <w:color w:val="000000"/>
                <w:sz w:val="12"/>
                <w:szCs w:val="12"/>
                <w:lang w:eastAsia="sv-SE"/>
              </w:rPr>
            </w:pPr>
            <w:r>
              <w:rPr>
                <w:rFonts w:eastAsia="Times New Roman" w:cs="Times New Roman"/>
                <w:color w:val="000000"/>
                <w:sz w:val="12"/>
                <w:szCs w:val="12"/>
                <w:lang w:eastAsia="sv-SE"/>
              </w:rPr>
              <w:t>0</w:t>
            </w:r>
            <w:r w:rsidRPr="00C30CCC">
              <w:rPr>
                <w:rFonts w:eastAsia="Times New Roman" w:cs="Times New Roman"/>
                <w:color w:val="000000"/>
                <w:sz w:val="12"/>
                <w:szCs w:val="12"/>
                <w:lang w:eastAsia="sv-SE"/>
              </w:rPr>
              <w:t>,</w:t>
            </w:r>
            <w:r>
              <w:rPr>
                <w:rFonts w:eastAsia="Times New Roman" w:cs="Times New Roman"/>
                <w:color w:val="000000"/>
                <w:sz w:val="12"/>
                <w:szCs w:val="12"/>
                <w:lang w:eastAsia="sv-SE"/>
              </w:rPr>
              <w:t>3</w:t>
            </w:r>
          </w:p>
        </w:tc>
        <w:tc>
          <w:tcPr>
            <w:tcW w:w="511" w:type="pct"/>
            <w:shd w:val="clear" w:color="auto" w:fill="auto"/>
            <w:noWrap/>
            <w:vAlign w:val="center"/>
          </w:tcPr>
          <w:p w14:paraId="2CDB7F3C" w14:textId="0D8979C1" w:rsidR="0027054C" w:rsidRDefault="0027054C" w:rsidP="0027054C">
            <w:pPr>
              <w:spacing w:after="0"/>
              <w:jc w:val="center"/>
              <w:rPr>
                <w:rFonts w:eastAsia="Times New Roman" w:cs="Times New Roman"/>
                <w:color w:val="000000"/>
                <w:sz w:val="12"/>
                <w:szCs w:val="12"/>
                <w:lang w:eastAsia="sv-SE"/>
              </w:rPr>
            </w:pPr>
            <w:r>
              <w:rPr>
                <w:rFonts w:eastAsia="Times New Roman" w:cs="Times New Roman"/>
                <w:color w:val="000000"/>
                <w:sz w:val="12"/>
                <w:szCs w:val="12"/>
                <w:lang w:eastAsia="sv-SE"/>
              </w:rPr>
              <w:t>100</w:t>
            </w:r>
            <w:r w:rsidRPr="00C30CCC">
              <w:rPr>
                <w:rFonts w:eastAsia="Times New Roman" w:cs="Times New Roman"/>
                <w:color w:val="000000"/>
                <w:sz w:val="12"/>
                <w:szCs w:val="12"/>
                <w:lang w:eastAsia="sv-SE"/>
              </w:rPr>
              <w:t>%/</w:t>
            </w:r>
            <w:r>
              <w:rPr>
                <w:rFonts w:eastAsia="Times New Roman" w:cs="Times New Roman"/>
                <w:color w:val="000000"/>
                <w:sz w:val="12"/>
                <w:szCs w:val="12"/>
                <w:lang w:eastAsia="sv-SE"/>
              </w:rPr>
              <w:t>0</w:t>
            </w:r>
            <w:r w:rsidRPr="00C30CCC">
              <w:rPr>
                <w:rFonts w:eastAsia="Times New Roman" w:cs="Times New Roman"/>
                <w:color w:val="000000"/>
                <w:sz w:val="12"/>
                <w:szCs w:val="12"/>
                <w:lang w:eastAsia="sv-SE"/>
              </w:rPr>
              <w:t>% </w:t>
            </w:r>
          </w:p>
        </w:tc>
      </w:tr>
      <w:tr w:rsidR="0027054C" w:rsidRPr="000227DE" w14:paraId="54169898" w14:textId="77777777" w:rsidTr="005C7D6E">
        <w:trPr>
          <w:trHeight w:val="298"/>
        </w:trPr>
        <w:tc>
          <w:tcPr>
            <w:tcW w:w="885" w:type="pct"/>
            <w:shd w:val="clear" w:color="auto" w:fill="auto"/>
            <w:noWrap/>
            <w:vAlign w:val="center"/>
          </w:tcPr>
          <w:p w14:paraId="334F707C" w14:textId="5279F942" w:rsidR="0027054C" w:rsidRPr="00C30CCC" w:rsidRDefault="0027054C" w:rsidP="0027054C">
            <w:pPr>
              <w:spacing w:after="0"/>
              <w:jc w:val="both"/>
              <w:rPr>
                <w:rFonts w:eastAsia="Times New Roman" w:cs="Times New Roman"/>
                <w:color w:val="000000"/>
                <w:sz w:val="12"/>
                <w:szCs w:val="12"/>
                <w:lang w:eastAsia="sv-SE"/>
              </w:rPr>
            </w:pPr>
            <w:r>
              <w:rPr>
                <w:rFonts w:eastAsia="Times New Roman" w:cs="Times New Roman"/>
                <w:color w:val="000000"/>
                <w:sz w:val="12"/>
                <w:szCs w:val="12"/>
                <w:lang w:eastAsia="sv-SE"/>
              </w:rPr>
              <w:t>Ola Carlsson**</w:t>
            </w:r>
          </w:p>
        </w:tc>
        <w:tc>
          <w:tcPr>
            <w:tcW w:w="627" w:type="pct"/>
            <w:shd w:val="clear" w:color="auto" w:fill="auto"/>
            <w:noWrap/>
            <w:vAlign w:val="center"/>
          </w:tcPr>
          <w:p w14:paraId="099B16F3" w14:textId="2C5C2927" w:rsidR="0027054C" w:rsidRPr="00C30CCC" w:rsidRDefault="0027054C" w:rsidP="0027054C">
            <w:pPr>
              <w:spacing w:after="0"/>
              <w:jc w:val="right"/>
              <w:rPr>
                <w:rFonts w:eastAsia="Times New Roman" w:cs="Times New Roman"/>
                <w:color w:val="000000"/>
                <w:sz w:val="12"/>
                <w:szCs w:val="12"/>
                <w:lang w:eastAsia="sv-SE"/>
              </w:rPr>
            </w:pPr>
            <w:r>
              <w:rPr>
                <w:rFonts w:eastAsia="Times New Roman" w:cs="Times New Roman"/>
                <w:color w:val="000000"/>
                <w:sz w:val="12"/>
                <w:szCs w:val="12"/>
                <w:lang w:eastAsia="sv-SE"/>
              </w:rPr>
              <w:t>-</w:t>
            </w:r>
          </w:p>
        </w:tc>
        <w:tc>
          <w:tcPr>
            <w:tcW w:w="1035" w:type="pct"/>
            <w:shd w:val="clear" w:color="auto" w:fill="auto"/>
            <w:noWrap/>
            <w:vAlign w:val="center"/>
          </w:tcPr>
          <w:p w14:paraId="1DCC20DA" w14:textId="66A37E47" w:rsidR="0027054C" w:rsidRDefault="0027054C" w:rsidP="0027054C">
            <w:pPr>
              <w:spacing w:after="0"/>
              <w:jc w:val="right"/>
              <w:rPr>
                <w:rFonts w:eastAsia="Times New Roman" w:cs="Times New Roman"/>
                <w:color w:val="000000"/>
                <w:sz w:val="12"/>
                <w:szCs w:val="12"/>
                <w:lang w:eastAsia="sv-SE"/>
              </w:rPr>
            </w:pPr>
            <w:r>
              <w:rPr>
                <w:rFonts w:eastAsia="Times New Roman" w:cs="Times New Roman"/>
                <w:color w:val="000000"/>
                <w:sz w:val="12"/>
                <w:szCs w:val="12"/>
                <w:lang w:eastAsia="sv-SE"/>
              </w:rPr>
              <w:t>1,1</w:t>
            </w:r>
          </w:p>
        </w:tc>
        <w:tc>
          <w:tcPr>
            <w:tcW w:w="753" w:type="pct"/>
            <w:shd w:val="clear" w:color="auto" w:fill="auto"/>
            <w:noWrap/>
            <w:vAlign w:val="center"/>
          </w:tcPr>
          <w:p w14:paraId="3046F4FA" w14:textId="29306414" w:rsidR="0027054C" w:rsidRPr="00C30CCC" w:rsidRDefault="0027054C" w:rsidP="0027054C">
            <w:pPr>
              <w:spacing w:after="0"/>
              <w:jc w:val="right"/>
              <w:rPr>
                <w:rFonts w:eastAsia="Times New Roman" w:cs="Times New Roman"/>
                <w:color w:val="000000"/>
                <w:sz w:val="12"/>
                <w:szCs w:val="12"/>
                <w:lang w:eastAsia="sv-SE"/>
              </w:rPr>
            </w:pPr>
            <w:r>
              <w:rPr>
                <w:rFonts w:eastAsia="Times New Roman" w:cs="Times New Roman"/>
                <w:color w:val="000000"/>
                <w:sz w:val="12"/>
                <w:szCs w:val="12"/>
                <w:lang w:eastAsia="sv-SE"/>
              </w:rPr>
              <w:t>-</w:t>
            </w:r>
          </w:p>
        </w:tc>
        <w:tc>
          <w:tcPr>
            <w:tcW w:w="805" w:type="pct"/>
            <w:shd w:val="clear" w:color="auto" w:fill="auto"/>
            <w:noWrap/>
            <w:vAlign w:val="center"/>
          </w:tcPr>
          <w:p w14:paraId="2D30DC29" w14:textId="1A989326" w:rsidR="0027054C" w:rsidRDefault="0027054C" w:rsidP="0027054C">
            <w:pPr>
              <w:spacing w:after="0"/>
              <w:jc w:val="right"/>
              <w:rPr>
                <w:rFonts w:eastAsia="Times New Roman" w:cs="Times New Roman"/>
                <w:color w:val="000000"/>
                <w:sz w:val="12"/>
                <w:szCs w:val="12"/>
                <w:lang w:eastAsia="sv-SE"/>
              </w:rPr>
            </w:pPr>
          </w:p>
        </w:tc>
        <w:tc>
          <w:tcPr>
            <w:tcW w:w="384" w:type="pct"/>
            <w:shd w:val="clear" w:color="auto" w:fill="auto"/>
            <w:noWrap/>
            <w:vAlign w:val="center"/>
          </w:tcPr>
          <w:p w14:paraId="467AD35B" w14:textId="407C1787" w:rsidR="0027054C" w:rsidRDefault="0027054C" w:rsidP="0027054C">
            <w:pPr>
              <w:spacing w:after="0"/>
              <w:jc w:val="right"/>
              <w:rPr>
                <w:rFonts w:eastAsia="Times New Roman" w:cs="Times New Roman"/>
                <w:color w:val="000000"/>
                <w:sz w:val="12"/>
                <w:szCs w:val="12"/>
                <w:lang w:eastAsia="sv-SE"/>
              </w:rPr>
            </w:pPr>
            <w:r>
              <w:rPr>
                <w:rFonts w:eastAsia="Times New Roman" w:cs="Times New Roman"/>
                <w:color w:val="000000"/>
                <w:sz w:val="12"/>
                <w:szCs w:val="12"/>
                <w:lang w:eastAsia="sv-SE"/>
              </w:rPr>
              <w:t>1,1</w:t>
            </w:r>
          </w:p>
        </w:tc>
        <w:tc>
          <w:tcPr>
            <w:tcW w:w="511" w:type="pct"/>
            <w:shd w:val="clear" w:color="auto" w:fill="auto"/>
            <w:noWrap/>
            <w:vAlign w:val="center"/>
          </w:tcPr>
          <w:p w14:paraId="710B2851" w14:textId="739F5BB9" w:rsidR="0027054C" w:rsidRDefault="0027054C" w:rsidP="0027054C">
            <w:pPr>
              <w:spacing w:after="0"/>
              <w:jc w:val="center"/>
              <w:rPr>
                <w:rFonts w:eastAsia="Times New Roman" w:cs="Times New Roman"/>
                <w:color w:val="000000"/>
                <w:sz w:val="12"/>
                <w:szCs w:val="12"/>
                <w:lang w:eastAsia="sv-SE"/>
              </w:rPr>
            </w:pPr>
            <w:r>
              <w:rPr>
                <w:rFonts w:eastAsia="Times New Roman" w:cs="Times New Roman"/>
                <w:color w:val="000000"/>
                <w:sz w:val="12"/>
                <w:szCs w:val="12"/>
                <w:lang w:eastAsia="sv-SE"/>
              </w:rPr>
              <w:t>0%/100%</w:t>
            </w:r>
          </w:p>
        </w:tc>
      </w:tr>
    </w:tbl>
    <w:p w14:paraId="38F35D77" w14:textId="0C0E1017" w:rsidR="00B3011B" w:rsidRDefault="00B3011B" w:rsidP="00B3011B">
      <w:pPr>
        <w:pStyle w:val="FootnoteText"/>
        <w:rPr>
          <w:sz w:val="12"/>
          <w:szCs w:val="12"/>
        </w:rPr>
      </w:pPr>
      <w:r w:rsidRPr="00B3011B">
        <w:rPr>
          <w:sz w:val="12"/>
          <w:szCs w:val="12"/>
        </w:rPr>
        <w:t>*</w:t>
      </w:r>
      <w:r>
        <w:rPr>
          <w:sz w:val="12"/>
          <w:szCs w:val="12"/>
        </w:rPr>
        <w:t xml:space="preserve"> Jon Lind avslutade sin anställning som VD för CTEK 10 januari 2023. Ersättning till Jon </w:t>
      </w:r>
      <w:r w:rsidR="00726248">
        <w:rPr>
          <w:sz w:val="12"/>
          <w:szCs w:val="12"/>
        </w:rPr>
        <w:t>bestod av lön under uppsägningstiden och därefter</w:t>
      </w:r>
      <w:r>
        <w:rPr>
          <w:sz w:val="12"/>
          <w:szCs w:val="12"/>
        </w:rPr>
        <w:t xml:space="preserve"> avgångsvederlag.</w:t>
      </w:r>
    </w:p>
    <w:p w14:paraId="75A03531" w14:textId="0A66F1ED" w:rsidR="00594C9A" w:rsidRPr="0027054C" w:rsidRDefault="00B3011B" w:rsidP="0027054C">
      <w:pPr>
        <w:pStyle w:val="FootnoteText"/>
        <w:rPr>
          <w:sz w:val="12"/>
          <w:szCs w:val="12"/>
        </w:rPr>
      </w:pPr>
      <w:r>
        <w:rPr>
          <w:sz w:val="12"/>
          <w:szCs w:val="12"/>
        </w:rPr>
        <w:t xml:space="preserve">** Ola Carlsson </w:t>
      </w:r>
      <w:r w:rsidR="00703658">
        <w:rPr>
          <w:sz w:val="12"/>
          <w:szCs w:val="12"/>
        </w:rPr>
        <w:t>tillförordnad</w:t>
      </w:r>
      <w:r>
        <w:rPr>
          <w:sz w:val="12"/>
          <w:szCs w:val="12"/>
        </w:rPr>
        <w:t xml:space="preserve"> VD, 10 januari – 31 augusti 2023</w:t>
      </w:r>
      <w:r w:rsidR="001F2BE5">
        <w:rPr>
          <w:sz w:val="12"/>
          <w:szCs w:val="12"/>
        </w:rPr>
        <w:t xml:space="preserve">. </w:t>
      </w:r>
      <w:r w:rsidR="00B37843" w:rsidRPr="00B37843">
        <w:rPr>
          <w:sz w:val="12"/>
          <w:szCs w:val="12"/>
        </w:rPr>
        <w:t xml:space="preserve">Utbetald ersättning under 2024 avser </w:t>
      </w:r>
      <w:r w:rsidR="0027054C">
        <w:rPr>
          <w:sz w:val="12"/>
          <w:szCs w:val="12"/>
        </w:rPr>
        <w:t>tidigare intjänad bonus.</w:t>
      </w:r>
      <w:r w:rsidR="001F2BE5" w:rsidRPr="00726248">
        <w:rPr>
          <w:sz w:val="12"/>
          <w:szCs w:val="12"/>
        </w:rPr>
        <w:t xml:space="preserve"> </w:t>
      </w:r>
    </w:p>
    <w:p w14:paraId="3ABC4363" w14:textId="256382DE" w:rsidR="00A37BD6" w:rsidRPr="00C30CCC" w:rsidRDefault="00A37BD6" w:rsidP="00FE57D5">
      <w:pPr>
        <w:pStyle w:val="Heading1"/>
        <w:numPr>
          <w:ilvl w:val="0"/>
          <w:numId w:val="0"/>
        </w:numPr>
        <w:ind w:left="720" w:hanging="720"/>
        <w:rPr>
          <w:rFonts w:ascii="Verdana" w:hAnsi="Verdana"/>
          <w:sz w:val="20"/>
          <w:szCs w:val="12"/>
          <w:lang w:val="sv-SE"/>
        </w:rPr>
      </w:pPr>
      <w:r w:rsidRPr="00C30CCC">
        <w:rPr>
          <w:rFonts w:ascii="Verdana" w:hAnsi="Verdana"/>
          <w:sz w:val="20"/>
          <w:szCs w:val="12"/>
          <w:lang w:val="sv-SE"/>
        </w:rPr>
        <w:t>Verkställande direktörens mål för rörlig ersättning</w:t>
      </w:r>
    </w:p>
    <w:p w14:paraId="61378C25" w14:textId="2E9E6872" w:rsidR="006C53BF" w:rsidRDefault="00FE57D5" w:rsidP="00701D87">
      <w:pPr>
        <w:jc w:val="both"/>
      </w:pPr>
      <w:r w:rsidRPr="00C30CCC">
        <w:t>Prestationskriterierna för den verkställande direktörens rörliga ersättning har valts för att förverkliga bolagets strategi och för att</w:t>
      </w:r>
      <w:r w:rsidR="00807C1A" w:rsidRPr="00C30CCC">
        <w:t xml:space="preserve"> </w:t>
      </w:r>
      <w:r w:rsidRPr="00C30CCC">
        <w:t>uppmuntra agerande som ligger i bolagets långsiktiga intresse. Vid valet av prestationskriterier har de strategiska målen samt kort och långsiktiga affärsprioriteringar för år 202</w:t>
      </w:r>
      <w:r w:rsidR="00D21AB6">
        <w:t>4</w:t>
      </w:r>
      <w:r w:rsidRPr="00C30CCC">
        <w:t xml:space="preserve"> beaktats. Prestationskriterierna för verkställande direktörens rörliga</w:t>
      </w:r>
      <w:r w:rsidR="00873E89" w:rsidRPr="00C30CCC">
        <w:t xml:space="preserve"> lön utgår från</w:t>
      </w:r>
      <w:r w:rsidR="00CA4C59" w:rsidRPr="00C30CCC">
        <w:t xml:space="preserve"> </w:t>
      </w:r>
      <w:r w:rsidR="00D62626">
        <w:t xml:space="preserve">bland annat </w:t>
      </w:r>
      <w:r w:rsidR="00CA4C59" w:rsidRPr="00C30CCC">
        <w:t>EBITA</w:t>
      </w:r>
      <w:r w:rsidR="009D7901" w:rsidRPr="00C30CCC">
        <w:t xml:space="preserve"> justerat för jämförelsestörande poster</w:t>
      </w:r>
      <w:r w:rsidR="00CA4C59" w:rsidRPr="00C30CCC">
        <w:t xml:space="preserve">, </w:t>
      </w:r>
      <w:r w:rsidR="00420DA9">
        <w:t>bruttomarginal för koncernen</w:t>
      </w:r>
      <w:r w:rsidR="00CA4C59" w:rsidRPr="00C30CCC">
        <w:t xml:space="preserve"> </w:t>
      </w:r>
      <w:r w:rsidR="007D2CEE" w:rsidRPr="00C30CCC">
        <w:t>samt</w:t>
      </w:r>
      <w:r w:rsidR="00CA4C59" w:rsidRPr="00C30CCC">
        <w:t xml:space="preserve"> netto</w:t>
      </w:r>
      <w:r w:rsidR="007D2CEE" w:rsidRPr="00C30CCC">
        <w:t>försäljning</w:t>
      </w:r>
      <w:r w:rsidR="00BB7939">
        <w:t xml:space="preserve"> inom respektive teknologi EVSE och Low Voltage</w:t>
      </w:r>
      <w:r w:rsidR="00132BD1" w:rsidRPr="00C30CCC">
        <w:t xml:space="preserve">. </w:t>
      </w:r>
    </w:p>
    <w:p w14:paraId="39F4A0FE" w14:textId="35F6E1A0" w:rsidR="00594C9A" w:rsidRPr="003E71D8" w:rsidRDefault="00132BD1" w:rsidP="00701D87">
      <w:pPr>
        <w:jc w:val="both"/>
        <w:rPr>
          <w:color w:val="FF0000"/>
        </w:rPr>
      </w:pPr>
      <w:r w:rsidRPr="00703658">
        <w:t>Prestationskriterierna har</w:t>
      </w:r>
      <w:r w:rsidR="001F4194" w:rsidRPr="00703658">
        <w:t xml:space="preserve"> delvis</w:t>
      </w:r>
      <w:r w:rsidR="006C53BF" w:rsidRPr="00703658">
        <w:t xml:space="preserve"> uppfyllts</w:t>
      </w:r>
      <w:r w:rsidR="00F23C8A" w:rsidRPr="00703658">
        <w:t xml:space="preserve"> </w:t>
      </w:r>
      <w:r w:rsidR="00732E49" w:rsidRPr="00703658">
        <w:t>och bonus kommer att utgå enligt gällande avtal</w:t>
      </w:r>
      <w:r w:rsidR="00703658" w:rsidRPr="00703658">
        <w:t>, med utbetalning under räkenskapsåret 202</w:t>
      </w:r>
      <w:r w:rsidR="00D21AB6">
        <w:t>5</w:t>
      </w:r>
      <w:r w:rsidR="00703658" w:rsidRPr="00703658">
        <w:t>.</w:t>
      </w:r>
      <w:r w:rsidR="00732E49" w:rsidRPr="00703658">
        <w:t xml:space="preserve"> </w:t>
      </w:r>
    </w:p>
    <w:p w14:paraId="51F90822" w14:textId="18E8C576" w:rsidR="00B1598D" w:rsidRDefault="00564D1F" w:rsidP="000631E4">
      <w:pPr>
        <w:pStyle w:val="Heading1"/>
        <w:numPr>
          <w:ilvl w:val="0"/>
          <w:numId w:val="0"/>
        </w:numPr>
        <w:rPr>
          <w:rFonts w:ascii="Verdana" w:hAnsi="Verdana"/>
          <w:sz w:val="20"/>
          <w:szCs w:val="12"/>
          <w:lang w:val="sv-SE"/>
        </w:rPr>
      </w:pPr>
      <w:r w:rsidRPr="00564D1F">
        <w:rPr>
          <w:rFonts w:ascii="Verdana" w:hAnsi="Verdana"/>
          <w:sz w:val="20"/>
          <w:szCs w:val="12"/>
          <w:lang w:val="sv-SE"/>
        </w:rPr>
        <w:t>Jämförande information avseende förändringar i ersättning och bolagets</w:t>
      </w:r>
      <w:r w:rsidR="00A2227E">
        <w:rPr>
          <w:rFonts w:ascii="Verdana" w:hAnsi="Verdana"/>
          <w:sz w:val="20"/>
          <w:szCs w:val="12"/>
          <w:lang w:val="sv-SE"/>
        </w:rPr>
        <w:t xml:space="preserve"> </w:t>
      </w:r>
      <w:r w:rsidR="00807C1A">
        <w:rPr>
          <w:rFonts w:ascii="Verdana" w:hAnsi="Verdana"/>
          <w:sz w:val="20"/>
          <w:szCs w:val="12"/>
          <w:lang w:val="sv-SE"/>
        </w:rPr>
        <w:t>resultat</w:t>
      </w:r>
    </w:p>
    <w:p w14:paraId="5D363D26" w14:textId="31AAE98B" w:rsidR="005C7D6E" w:rsidRPr="005C7D6E" w:rsidRDefault="005C7D6E" w:rsidP="005C7D6E">
      <w:pPr>
        <w:rPr>
          <w:sz w:val="14"/>
          <w:szCs w:val="14"/>
        </w:rPr>
      </w:pPr>
      <w:r w:rsidRPr="005C7D6E">
        <w:rPr>
          <w:sz w:val="14"/>
          <w:szCs w:val="14"/>
        </w:rPr>
        <w:t>Tabell 2 (MSEK)</w:t>
      </w:r>
    </w:p>
    <w:tbl>
      <w:tblPr>
        <w:tblW w:w="5000" w:type="pct"/>
        <w:tblCellMar>
          <w:left w:w="70" w:type="dxa"/>
          <w:right w:w="70" w:type="dxa"/>
        </w:tblCellMar>
        <w:tblLook w:val="04A0" w:firstRow="1" w:lastRow="0" w:firstColumn="1" w:lastColumn="0" w:noHBand="0" w:noVBand="1"/>
      </w:tblPr>
      <w:tblGrid>
        <w:gridCol w:w="6228"/>
        <w:gridCol w:w="1407"/>
        <w:gridCol w:w="1407"/>
      </w:tblGrid>
      <w:tr w:rsidR="0040519B" w:rsidRPr="00FA5A5A" w14:paraId="44FE766A" w14:textId="77777777" w:rsidTr="0040519B">
        <w:trPr>
          <w:trHeight w:val="497"/>
        </w:trPr>
        <w:tc>
          <w:tcPr>
            <w:tcW w:w="3444" w:type="pct"/>
            <w:tcBorders>
              <w:top w:val="single" w:sz="12" w:space="0" w:color="auto"/>
              <w:left w:val="single" w:sz="12" w:space="0" w:color="auto"/>
              <w:bottom w:val="single" w:sz="8" w:space="0" w:color="000000"/>
              <w:right w:val="single" w:sz="12" w:space="0" w:color="auto"/>
            </w:tcBorders>
            <w:shd w:val="clear" w:color="000000" w:fill="EEECE1"/>
            <w:noWrap/>
            <w:hideMark/>
          </w:tcPr>
          <w:p w14:paraId="6FF9B427" w14:textId="6656F0F6" w:rsidR="0040519B" w:rsidRPr="00FA5A5A" w:rsidRDefault="0040519B" w:rsidP="00594C9A">
            <w:pPr>
              <w:spacing w:after="0"/>
              <w:rPr>
                <w:rFonts w:eastAsia="Times New Roman" w:cs="Times New Roman"/>
                <w:color w:val="000000"/>
                <w:sz w:val="14"/>
                <w:szCs w:val="14"/>
                <w:lang w:eastAsia="sv-SE"/>
              </w:rPr>
            </w:pPr>
            <w:bookmarkStart w:id="1" w:name="_Hlk158649106"/>
          </w:p>
        </w:tc>
        <w:tc>
          <w:tcPr>
            <w:tcW w:w="778" w:type="pct"/>
            <w:tcBorders>
              <w:top w:val="single" w:sz="12" w:space="0" w:color="auto"/>
              <w:left w:val="single" w:sz="12" w:space="0" w:color="auto"/>
              <w:bottom w:val="single" w:sz="8" w:space="0" w:color="000000"/>
              <w:right w:val="single" w:sz="12" w:space="0" w:color="auto"/>
            </w:tcBorders>
            <w:shd w:val="clear" w:color="000000" w:fill="EEECE1"/>
            <w:vAlign w:val="center"/>
          </w:tcPr>
          <w:p w14:paraId="40E3D8F9" w14:textId="661C0B5D" w:rsidR="0040519B" w:rsidRPr="006846C0" w:rsidRDefault="0040519B" w:rsidP="00594C9A">
            <w:pPr>
              <w:spacing w:after="0"/>
              <w:jc w:val="center"/>
              <w:rPr>
                <w:rFonts w:eastAsia="Times New Roman" w:cs="Times New Roman"/>
                <w:color w:val="000000"/>
                <w:sz w:val="12"/>
                <w:szCs w:val="12"/>
                <w:lang w:eastAsia="sv-SE"/>
              </w:rPr>
            </w:pPr>
            <w:r w:rsidRPr="006846C0">
              <w:rPr>
                <w:rFonts w:eastAsia="Times New Roman" w:cs="Times New Roman"/>
                <w:color w:val="000000"/>
                <w:sz w:val="12"/>
                <w:szCs w:val="12"/>
                <w:lang w:eastAsia="sv-SE"/>
              </w:rPr>
              <w:t>2024</w:t>
            </w:r>
          </w:p>
        </w:tc>
        <w:tc>
          <w:tcPr>
            <w:tcW w:w="778" w:type="pct"/>
            <w:tcBorders>
              <w:top w:val="single" w:sz="12" w:space="0" w:color="auto"/>
              <w:left w:val="single" w:sz="12" w:space="0" w:color="auto"/>
              <w:bottom w:val="single" w:sz="8" w:space="0" w:color="000000"/>
              <w:right w:val="single" w:sz="12" w:space="0" w:color="auto"/>
            </w:tcBorders>
            <w:shd w:val="clear" w:color="000000" w:fill="EEECE1"/>
            <w:noWrap/>
            <w:vAlign w:val="center"/>
            <w:hideMark/>
          </w:tcPr>
          <w:p w14:paraId="598123A5" w14:textId="069C687A" w:rsidR="0040519B" w:rsidRPr="006846C0" w:rsidRDefault="0040519B" w:rsidP="00594C9A">
            <w:pPr>
              <w:spacing w:after="0"/>
              <w:jc w:val="center"/>
              <w:rPr>
                <w:rFonts w:eastAsia="Times New Roman" w:cs="Times New Roman"/>
                <w:color w:val="000000"/>
                <w:sz w:val="12"/>
                <w:szCs w:val="12"/>
                <w:lang w:eastAsia="sv-SE"/>
              </w:rPr>
            </w:pPr>
            <w:r w:rsidRPr="006846C0">
              <w:rPr>
                <w:rFonts w:eastAsia="Times New Roman" w:cs="Times New Roman"/>
                <w:color w:val="000000"/>
                <w:sz w:val="12"/>
                <w:szCs w:val="12"/>
                <w:lang w:eastAsia="sv-SE"/>
              </w:rPr>
              <w:t>2023</w:t>
            </w:r>
          </w:p>
        </w:tc>
      </w:tr>
      <w:tr w:rsidR="0040519B" w:rsidRPr="004B65BA" w14:paraId="5A5C4EE8" w14:textId="77777777" w:rsidTr="0040519B">
        <w:trPr>
          <w:trHeight w:val="371"/>
        </w:trPr>
        <w:tc>
          <w:tcPr>
            <w:tcW w:w="3444" w:type="pct"/>
            <w:tcBorders>
              <w:top w:val="single" w:sz="8" w:space="0" w:color="000000"/>
              <w:left w:val="single" w:sz="12" w:space="0" w:color="auto"/>
              <w:bottom w:val="single" w:sz="12" w:space="0" w:color="auto"/>
              <w:right w:val="single" w:sz="12" w:space="0" w:color="auto"/>
            </w:tcBorders>
            <w:shd w:val="clear" w:color="auto" w:fill="auto"/>
            <w:noWrap/>
            <w:vAlign w:val="center"/>
            <w:hideMark/>
          </w:tcPr>
          <w:p w14:paraId="26CEBD67" w14:textId="2BA742A4" w:rsidR="0040519B" w:rsidRPr="006846C0" w:rsidRDefault="0040519B" w:rsidP="0027054C">
            <w:pPr>
              <w:spacing w:after="0"/>
              <w:rPr>
                <w:rFonts w:eastAsia="Times New Roman" w:cs="Times New Roman"/>
                <w:color w:val="000000"/>
                <w:sz w:val="12"/>
                <w:szCs w:val="12"/>
                <w:lang w:eastAsia="sv-SE"/>
              </w:rPr>
            </w:pPr>
            <w:r w:rsidRPr="006846C0">
              <w:rPr>
                <w:rFonts w:eastAsia="Times New Roman" w:cs="Times New Roman"/>
                <w:color w:val="000000"/>
                <w:sz w:val="12"/>
                <w:szCs w:val="12"/>
                <w:lang w:eastAsia="sv-SE"/>
              </w:rPr>
              <w:t>Henrik Fagrenius, VD</w:t>
            </w:r>
          </w:p>
        </w:tc>
        <w:tc>
          <w:tcPr>
            <w:tcW w:w="778" w:type="pct"/>
            <w:tcBorders>
              <w:top w:val="single" w:sz="8" w:space="0" w:color="000000"/>
              <w:left w:val="single" w:sz="12" w:space="0" w:color="auto"/>
              <w:bottom w:val="single" w:sz="12" w:space="0" w:color="auto"/>
              <w:right w:val="single" w:sz="12" w:space="0" w:color="auto"/>
            </w:tcBorders>
            <w:vAlign w:val="center"/>
          </w:tcPr>
          <w:p w14:paraId="551C2F7C" w14:textId="150D4EF4" w:rsidR="0040519B" w:rsidRPr="006846C0" w:rsidRDefault="00C915ED" w:rsidP="0027054C">
            <w:pPr>
              <w:spacing w:after="0"/>
              <w:jc w:val="right"/>
              <w:rPr>
                <w:rFonts w:eastAsia="Times New Roman" w:cs="Times New Roman"/>
                <w:color w:val="000000"/>
                <w:sz w:val="12"/>
                <w:szCs w:val="12"/>
                <w:lang w:eastAsia="sv-SE"/>
              </w:rPr>
            </w:pPr>
            <w:r>
              <w:rPr>
                <w:rFonts w:eastAsia="Times New Roman" w:cs="Times New Roman"/>
                <w:color w:val="000000"/>
                <w:sz w:val="12"/>
                <w:szCs w:val="12"/>
                <w:lang w:eastAsia="sv-SE"/>
              </w:rPr>
              <w:t>5</w:t>
            </w:r>
            <w:r w:rsidR="0040519B" w:rsidRPr="006846C0">
              <w:rPr>
                <w:rFonts w:eastAsia="Times New Roman" w:cs="Times New Roman"/>
                <w:color w:val="000000"/>
                <w:sz w:val="12"/>
                <w:szCs w:val="12"/>
                <w:lang w:eastAsia="sv-SE"/>
              </w:rPr>
              <w:t>,</w:t>
            </w:r>
            <w:r>
              <w:rPr>
                <w:rFonts w:eastAsia="Times New Roman" w:cs="Times New Roman"/>
                <w:color w:val="000000"/>
                <w:sz w:val="12"/>
                <w:szCs w:val="12"/>
                <w:lang w:eastAsia="sv-SE"/>
              </w:rPr>
              <w:t>6</w:t>
            </w:r>
          </w:p>
        </w:tc>
        <w:tc>
          <w:tcPr>
            <w:tcW w:w="778" w:type="pct"/>
            <w:tcBorders>
              <w:top w:val="single" w:sz="8" w:space="0" w:color="000000"/>
              <w:left w:val="single" w:sz="12" w:space="0" w:color="auto"/>
              <w:bottom w:val="single" w:sz="12" w:space="0" w:color="auto"/>
              <w:right w:val="single" w:sz="12" w:space="0" w:color="auto"/>
            </w:tcBorders>
            <w:shd w:val="clear" w:color="auto" w:fill="auto"/>
            <w:noWrap/>
            <w:vAlign w:val="center"/>
            <w:hideMark/>
          </w:tcPr>
          <w:p w14:paraId="6444D7A8" w14:textId="547C6179" w:rsidR="0040519B" w:rsidRPr="006846C0" w:rsidRDefault="0040519B" w:rsidP="0027054C">
            <w:pPr>
              <w:spacing w:after="0"/>
              <w:jc w:val="right"/>
              <w:rPr>
                <w:rFonts w:eastAsia="Times New Roman" w:cs="Times New Roman"/>
                <w:color w:val="000000"/>
                <w:sz w:val="12"/>
                <w:szCs w:val="12"/>
                <w:lang w:eastAsia="sv-SE"/>
              </w:rPr>
            </w:pPr>
            <w:r w:rsidRPr="006846C0">
              <w:rPr>
                <w:rFonts w:eastAsia="Times New Roman" w:cs="Times New Roman"/>
                <w:color w:val="000000"/>
                <w:sz w:val="12"/>
                <w:szCs w:val="12"/>
                <w:lang w:eastAsia="sv-SE"/>
              </w:rPr>
              <w:t>1,8</w:t>
            </w:r>
            <w:r w:rsidR="008C1715" w:rsidRPr="006846C0">
              <w:rPr>
                <w:rStyle w:val="FootnoteReference"/>
                <w:rFonts w:eastAsia="Times New Roman" w:cs="Times New Roman"/>
                <w:color w:val="000000"/>
                <w:sz w:val="12"/>
                <w:szCs w:val="12"/>
                <w:lang w:eastAsia="sv-SE"/>
              </w:rPr>
              <w:footnoteReference w:id="4"/>
            </w:r>
          </w:p>
        </w:tc>
      </w:tr>
      <w:tr w:rsidR="0040519B" w:rsidRPr="004B65BA" w14:paraId="17EE25B5" w14:textId="77777777" w:rsidTr="0040519B">
        <w:trPr>
          <w:trHeight w:val="371"/>
        </w:trPr>
        <w:tc>
          <w:tcPr>
            <w:tcW w:w="344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24BFC97" w14:textId="325BF207" w:rsidR="0040519B" w:rsidRPr="006846C0" w:rsidRDefault="0040519B" w:rsidP="0027054C">
            <w:pPr>
              <w:spacing w:after="0"/>
              <w:rPr>
                <w:rFonts w:eastAsia="Times New Roman" w:cs="Times New Roman"/>
                <w:b/>
                <w:bCs/>
                <w:color w:val="000000"/>
                <w:sz w:val="12"/>
                <w:szCs w:val="12"/>
                <w:lang w:eastAsia="sv-SE"/>
              </w:rPr>
            </w:pPr>
            <w:r w:rsidRPr="006846C0">
              <w:rPr>
                <w:rFonts w:eastAsia="Times New Roman" w:cs="Times New Roman"/>
                <w:b/>
                <w:bCs/>
                <w:color w:val="000000"/>
                <w:sz w:val="12"/>
                <w:szCs w:val="12"/>
                <w:lang w:eastAsia="sv-SE"/>
              </w:rPr>
              <w:t>Koncernens resultat</w:t>
            </w:r>
          </w:p>
        </w:tc>
        <w:tc>
          <w:tcPr>
            <w:tcW w:w="778" w:type="pct"/>
            <w:tcBorders>
              <w:top w:val="single" w:sz="12" w:space="0" w:color="auto"/>
              <w:left w:val="single" w:sz="12" w:space="0" w:color="auto"/>
              <w:bottom w:val="single" w:sz="12" w:space="0" w:color="auto"/>
              <w:right w:val="single" w:sz="12" w:space="0" w:color="auto"/>
            </w:tcBorders>
            <w:vAlign w:val="center"/>
          </w:tcPr>
          <w:p w14:paraId="56148CDB" w14:textId="7836749E" w:rsidR="0040519B" w:rsidRPr="006846C0" w:rsidRDefault="0040519B" w:rsidP="0027054C">
            <w:pPr>
              <w:spacing w:after="0"/>
              <w:jc w:val="right"/>
              <w:rPr>
                <w:rFonts w:eastAsia="Times New Roman" w:cs="Times New Roman"/>
                <w:color w:val="000000"/>
                <w:sz w:val="12"/>
                <w:szCs w:val="12"/>
                <w:lang w:eastAsia="sv-SE"/>
              </w:rPr>
            </w:pPr>
          </w:p>
        </w:tc>
        <w:tc>
          <w:tcPr>
            <w:tcW w:w="778"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825EC52" w14:textId="35569811" w:rsidR="0040519B" w:rsidRPr="006846C0" w:rsidRDefault="0040519B" w:rsidP="0027054C">
            <w:pPr>
              <w:spacing w:after="0"/>
              <w:jc w:val="right"/>
              <w:rPr>
                <w:rFonts w:eastAsia="Times New Roman" w:cs="Times New Roman"/>
                <w:color w:val="000000"/>
                <w:sz w:val="12"/>
                <w:szCs w:val="12"/>
                <w:lang w:eastAsia="sv-SE"/>
              </w:rPr>
            </w:pPr>
          </w:p>
        </w:tc>
      </w:tr>
      <w:tr w:rsidR="0040519B" w:rsidRPr="004B65BA" w14:paraId="55C13188" w14:textId="77777777" w:rsidTr="0040519B">
        <w:trPr>
          <w:trHeight w:val="371"/>
        </w:trPr>
        <w:tc>
          <w:tcPr>
            <w:tcW w:w="344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6294222" w14:textId="153BAA2A" w:rsidR="0040519B" w:rsidRPr="006846C0" w:rsidRDefault="0040519B" w:rsidP="0027054C">
            <w:pPr>
              <w:spacing w:after="0"/>
              <w:rPr>
                <w:rFonts w:eastAsia="Times New Roman" w:cs="Times New Roman"/>
                <w:color w:val="000000"/>
                <w:sz w:val="12"/>
                <w:szCs w:val="12"/>
                <w:lang w:eastAsia="sv-SE"/>
              </w:rPr>
            </w:pPr>
            <w:r w:rsidRPr="006846C0">
              <w:rPr>
                <w:rFonts w:eastAsia="Times New Roman" w:cs="Times New Roman"/>
                <w:color w:val="000000"/>
                <w:sz w:val="12"/>
                <w:szCs w:val="12"/>
                <w:lang w:eastAsia="sv-SE"/>
              </w:rPr>
              <w:t>EBITA (justerat för jämförelsestörande poster)</w:t>
            </w:r>
          </w:p>
        </w:tc>
        <w:tc>
          <w:tcPr>
            <w:tcW w:w="778" w:type="pct"/>
            <w:tcBorders>
              <w:top w:val="single" w:sz="12" w:space="0" w:color="auto"/>
              <w:left w:val="single" w:sz="12" w:space="0" w:color="auto"/>
              <w:bottom w:val="single" w:sz="12" w:space="0" w:color="auto"/>
              <w:right w:val="single" w:sz="12" w:space="0" w:color="auto"/>
            </w:tcBorders>
            <w:vAlign w:val="center"/>
          </w:tcPr>
          <w:p w14:paraId="78ACD90D" w14:textId="233D3B2C" w:rsidR="0040519B" w:rsidRPr="006846C0" w:rsidRDefault="00BB7939" w:rsidP="0027054C">
            <w:pPr>
              <w:spacing w:after="0"/>
              <w:jc w:val="right"/>
              <w:rPr>
                <w:rFonts w:eastAsia="Times New Roman" w:cs="Times New Roman"/>
                <w:color w:val="000000"/>
                <w:sz w:val="12"/>
                <w:szCs w:val="12"/>
                <w:lang w:eastAsia="sv-SE"/>
              </w:rPr>
            </w:pPr>
            <w:r w:rsidRPr="006846C0">
              <w:rPr>
                <w:rFonts w:eastAsia="Times New Roman" w:cs="Times New Roman"/>
                <w:color w:val="000000"/>
                <w:sz w:val="12"/>
                <w:szCs w:val="12"/>
                <w:lang w:eastAsia="sv-SE"/>
              </w:rPr>
              <w:t>89</w:t>
            </w:r>
            <w:r w:rsidR="0040519B" w:rsidRPr="006846C0">
              <w:rPr>
                <w:rFonts w:eastAsia="Times New Roman" w:cs="Times New Roman"/>
                <w:color w:val="000000"/>
                <w:sz w:val="12"/>
                <w:szCs w:val="12"/>
                <w:lang w:eastAsia="sv-SE"/>
              </w:rPr>
              <w:t>,</w:t>
            </w:r>
            <w:r w:rsidRPr="006846C0">
              <w:rPr>
                <w:rFonts w:eastAsia="Times New Roman" w:cs="Times New Roman"/>
                <w:color w:val="000000"/>
                <w:sz w:val="12"/>
                <w:szCs w:val="12"/>
                <w:lang w:eastAsia="sv-SE"/>
              </w:rPr>
              <w:t>9</w:t>
            </w:r>
          </w:p>
        </w:tc>
        <w:tc>
          <w:tcPr>
            <w:tcW w:w="778"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7DAE0BB" w14:textId="236C4C77" w:rsidR="0040519B" w:rsidRPr="006846C0" w:rsidRDefault="00BB7939" w:rsidP="0027054C">
            <w:pPr>
              <w:spacing w:after="0"/>
              <w:jc w:val="right"/>
              <w:rPr>
                <w:rFonts w:eastAsia="Times New Roman" w:cs="Times New Roman"/>
                <w:color w:val="000000"/>
                <w:sz w:val="12"/>
                <w:szCs w:val="12"/>
                <w:lang w:eastAsia="sv-SE"/>
              </w:rPr>
            </w:pPr>
            <w:r w:rsidRPr="006846C0">
              <w:rPr>
                <w:rFonts w:eastAsia="Times New Roman" w:cs="Times New Roman"/>
                <w:color w:val="000000"/>
                <w:sz w:val="12"/>
                <w:szCs w:val="12"/>
                <w:lang w:eastAsia="sv-SE"/>
              </w:rPr>
              <w:t>59</w:t>
            </w:r>
            <w:r w:rsidR="0040519B" w:rsidRPr="006846C0">
              <w:rPr>
                <w:rFonts w:eastAsia="Times New Roman" w:cs="Times New Roman"/>
                <w:color w:val="000000"/>
                <w:sz w:val="12"/>
                <w:szCs w:val="12"/>
                <w:lang w:eastAsia="sv-SE"/>
              </w:rPr>
              <w:t>,</w:t>
            </w:r>
            <w:r w:rsidRPr="006846C0">
              <w:rPr>
                <w:rFonts w:eastAsia="Times New Roman" w:cs="Times New Roman"/>
                <w:color w:val="000000"/>
                <w:sz w:val="12"/>
                <w:szCs w:val="12"/>
                <w:lang w:eastAsia="sv-SE"/>
              </w:rPr>
              <w:t>0</w:t>
            </w:r>
          </w:p>
        </w:tc>
      </w:tr>
      <w:tr w:rsidR="00095594" w:rsidRPr="004B65BA" w14:paraId="05B6DB33" w14:textId="77777777" w:rsidTr="0040519B">
        <w:trPr>
          <w:trHeight w:val="371"/>
        </w:trPr>
        <w:tc>
          <w:tcPr>
            <w:tcW w:w="344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F962251" w14:textId="45C2DF83" w:rsidR="00095594" w:rsidRPr="006846C0" w:rsidRDefault="00095594" w:rsidP="00095594">
            <w:pPr>
              <w:spacing w:after="0"/>
              <w:rPr>
                <w:rFonts w:eastAsia="Times New Roman" w:cs="Times New Roman"/>
                <w:color w:val="000000"/>
                <w:sz w:val="12"/>
                <w:szCs w:val="12"/>
                <w:lang w:eastAsia="sv-SE"/>
              </w:rPr>
            </w:pPr>
            <w:r w:rsidRPr="006846C0">
              <w:rPr>
                <w:rFonts w:eastAsia="Times New Roman" w:cs="Times New Roman"/>
                <w:color w:val="000000"/>
                <w:sz w:val="12"/>
                <w:szCs w:val="12"/>
                <w:lang w:eastAsia="sv-SE"/>
              </w:rPr>
              <w:t>Bruttomarginal (%)</w:t>
            </w:r>
          </w:p>
        </w:tc>
        <w:tc>
          <w:tcPr>
            <w:tcW w:w="778" w:type="pct"/>
            <w:tcBorders>
              <w:top w:val="single" w:sz="12" w:space="0" w:color="auto"/>
              <w:left w:val="single" w:sz="12" w:space="0" w:color="auto"/>
              <w:bottom w:val="single" w:sz="12" w:space="0" w:color="auto"/>
              <w:right w:val="single" w:sz="12" w:space="0" w:color="auto"/>
            </w:tcBorders>
            <w:vAlign w:val="center"/>
          </w:tcPr>
          <w:p w14:paraId="675C4489" w14:textId="4EC188C5" w:rsidR="00095594" w:rsidRPr="006846C0" w:rsidRDefault="00095594" w:rsidP="00095594">
            <w:pPr>
              <w:spacing w:after="0"/>
              <w:jc w:val="right"/>
              <w:rPr>
                <w:rFonts w:eastAsia="Times New Roman" w:cs="Times New Roman"/>
                <w:color w:val="000000"/>
                <w:sz w:val="12"/>
                <w:szCs w:val="12"/>
                <w:lang w:eastAsia="sv-SE"/>
              </w:rPr>
            </w:pPr>
            <w:r w:rsidRPr="006846C0">
              <w:rPr>
                <w:rFonts w:eastAsia="Times New Roman" w:cs="Times New Roman"/>
                <w:color w:val="000000"/>
                <w:sz w:val="12"/>
                <w:szCs w:val="12"/>
                <w:lang w:eastAsia="sv-SE"/>
              </w:rPr>
              <w:t>53,0</w:t>
            </w:r>
          </w:p>
        </w:tc>
        <w:tc>
          <w:tcPr>
            <w:tcW w:w="778"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DAF7D8D" w14:textId="72C2F4C7" w:rsidR="00095594" w:rsidRPr="006846C0" w:rsidRDefault="00095594" w:rsidP="00095594">
            <w:pPr>
              <w:spacing w:after="0"/>
              <w:jc w:val="right"/>
              <w:rPr>
                <w:rFonts w:eastAsia="Times New Roman" w:cs="Times New Roman"/>
                <w:color w:val="000000"/>
                <w:sz w:val="12"/>
                <w:szCs w:val="12"/>
                <w:lang w:eastAsia="sv-SE"/>
              </w:rPr>
            </w:pPr>
            <w:r w:rsidRPr="006846C0">
              <w:rPr>
                <w:rFonts w:eastAsia="Times New Roman" w:cs="Times New Roman"/>
                <w:color w:val="000000"/>
                <w:sz w:val="12"/>
                <w:szCs w:val="12"/>
                <w:lang w:eastAsia="sv-SE"/>
              </w:rPr>
              <w:t>49,9</w:t>
            </w:r>
          </w:p>
        </w:tc>
      </w:tr>
      <w:tr w:rsidR="0040519B" w:rsidRPr="004B65BA" w14:paraId="213D6559" w14:textId="77777777" w:rsidTr="0040519B">
        <w:trPr>
          <w:trHeight w:val="371"/>
        </w:trPr>
        <w:tc>
          <w:tcPr>
            <w:tcW w:w="3444" w:type="pct"/>
            <w:tcBorders>
              <w:top w:val="single" w:sz="12" w:space="0" w:color="auto"/>
              <w:left w:val="single" w:sz="12" w:space="0" w:color="auto"/>
              <w:bottom w:val="single" w:sz="12" w:space="0" w:color="auto"/>
              <w:right w:val="single" w:sz="12" w:space="0" w:color="auto"/>
            </w:tcBorders>
            <w:shd w:val="clear" w:color="auto" w:fill="auto"/>
            <w:noWrap/>
            <w:vAlign w:val="center"/>
          </w:tcPr>
          <w:p w14:paraId="45945942" w14:textId="03544BC1" w:rsidR="0040519B" w:rsidRPr="006846C0" w:rsidRDefault="00095594" w:rsidP="0027054C">
            <w:pPr>
              <w:spacing w:after="0"/>
              <w:rPr>
                <w:rFonts w:eastAsia="Times New Roman" w:cs="Times New Roman"/>
                <w:color w:val="000000"/>
                <w:sz w:val="12"/>
                <w:szCs w:val="12"/>
                <w:lang w:eastAsia="sv-SE"/>
              </w:rPr>
            </w:pPr>
            <w:r w:rsidRPr="006846C0">
              <w:rPr>
                <w:rFonts w:eastAsia="Times New Roman" w:cs="Times New Roman"/>
                <w:color w:val="000000"/>
                <w:sz w:val="12"/>
                <w:szCs w:val="12"/>
                <w:lang w:eastAsia="sv-SE"/>
              </w:rPr>
              <w:t>Nettoförsäljning EVSE</w:t>
            </w:r>
          </w:p>
        </w:tc>
        <w:tc>
          <w:tcPr>
            <w:tcW w:w="778" w:type="pct"/>
            <w:tcBorders>
              <w:top w:val="single" w:sz="12" w:space="0" w:color="auto"/>
              <w:left w:val="single" w:sz="12" w:space="0" w:color="auto"/>
              <w:bottom w:val="single" w:sz="12" w:space="0" w:color="auto"/>
              <w:right w:val="single" w:sz="12" w:space="0" w:color="auto"/>
            </w:tcBorders>
            <w:vAlign w:val="center"/>
          </w:tcPr>
          <w:p w14:paraId="67311BF4" w14:textId="5D1ED54E" w:rsidR="0040519B" w:rsidRPr="006846C0" w:rsidRDefault="00BB7939" w:rsidP="0027054C">
            <w:pPr>
              <w:spacing w:after="0"/>
              <w:jc w:val="right"/>
              <w:rPr>
                <w:rFonts w:eastAsia="Times New Roman" w:cs="Times New Roman"/>
                <w:color w:val="000000"/>
                <w:sz w:val="12"/>
                <w:szCs w:val="12"/>
                <w:lang w:eastAsia="sv-SE"/>
              </w:rPr>
            </w:pPr>
            <w:r w:rsidRPr="006846C0">
              <w:rPr>
                <w:rFonts w:eastAsia="Times New Roman" w:cs="Times New Roman"/>
                <w:color w:val="000000"/>
                <w:sz w:val="12"/>
                <w:szCs w:val="12"/>
                <w:lang w:eastAsia="sv-SE"/>
              </w:rPr>
              <w:t>177,4</w:t>
            </w:r>
          </w:p>
        </w:tc>
        <w:tc>
          <w:tcPr>
            <w:tcW w:w="778" w:type="pct"/>
            <w:tcBorders>
              <w:top w:val="single" w:sz="12" w:space="0" w:color="auto"/>
              <w:left w:val="single" w:sz="12" w:space="0" w:color="auto"/>
              <w:bottom w:val="single" w:sz="12" w:space="0" w:color="auto"/>
              <w:right w:val="single" w:sz="12" w:space="0" w:color="auto"/>
            </w:tcBorders>
            <w:shd w:val="clear" w:color="auto" w:fill="auto"/>
            <w:noWrap/>
            <w:vAlign w:val="center"/>
          </w:tcPr>
          <w:p w14:paraId="620A5DD1" w14:textId="336E9DEB" w:rsidR="0040519B" w:rsidRPr="006846C0" w:rsidRDefault="00BB7939" w:rsidP="0027054C">
            <w:pPr>
              <w:spacing w:after="0"/>
              <w:jc w:val="right"/>
              <w:rPr>
                <w:rFonts w:eastAsia="Times New Roman" w:cs="Times New Roman"/>
                <w:color w:val="000000"/>
                <w:sz w:val="12"/>
                <w:szCs w:val="12"/>
                <w:lang w:eastAsia="sv-SE"/>
              </w:rPr>
            </w:pPr>
            <w:r w:rsidRPr="006846C0">
              <w:rPr>
                <w:rFonts w:eastAsia="Times New Roman" w:cs="Times New Roman"/>
                <w:color w:val="000000"/>
                <w:sz w:val="12"/>
                <w:szCs w:val="12"/>
                <w:lang w:eastAsia="sv-SE"/>
              </w:rPr>
              <w:t>230,2</w:t>
            </w:r>
          </w:p>
        </w:tc>
      </w:tr>
      <w:tr w:rsidR="00BB7939" w:rsidRPr="004B65BA" w14:paraId="0A27862F" w14:textId="77777777" w:rsidTr="0040519B">
        <w:trPr>
          <w:trHeight w:val="371"/>
        </w:trPr>
        <w:tc>
          <w:tcPr>
            <w:tcW w:w="3444" w:type="pct"/>
            <w:tcBorders>
              <w:top w:val="single" w:sz="12" w:space="0" w:color="auto"/>
              <w:left w:val="single" w:sz="12" w:space="0" w:color="auto"/>
              <w:bottom w:val="single" w:sz="12" w:space="0" w:color="auto"/>
              <w:right w:val="single" w:sz="12" w:space="0" w:color="auto"/>
            </w:tcBorders>
            <w:shd w:val="clear" w:color="auto" w:fill="auto"/>
            <w:noWrap/>
            <w:vAlign w:val="center"/>
          </w:tcPr>
          <w:p w14:paraId="6769A335" w14:textId="3D5BE0FF" w:rsidR="00BB7939" w:rsidRPr="006846C0" w:rsidRDefault="00BB7939" w:rsidP="00BB7939">
            <w:pPr>
              <w:spacing w:after="0"/>
              <w:rPr>
                <w:rFonts w:eastAsia="Times New Roman" w:cs="Times New Roman"/>
                <w:color w:val="000000"/>
                <w:sz w:val="12"/>
                <w:szCs w:val="12"/>
                <w:lang w:eastAsia="sv-SE"/>
              </w:rPr>
            </w:pPr>
            <w:r w:rsidRPr="006846C0">
              <w:rPr>
                <w:rFonts w:eastAsia="Times New Roman" w:cs="Times New Roman"/>
                <w:color w:val="000000"/>
                <w:sz w:val="12"/>
                <w:szCs w:val="12"/>
                <w:lang w:eastAsia="sv-SE"/>
              </w:rPr>
              <w:t>Nettoförsäljning Low Voltage</w:t>
            </w:r>
          </w:p>
        </w:tc>
        <w:tc>
          <w:tcPr>
            <w:tcW w:w="778" w:type="pct"/>
            <w:tcBorders>
              <w:top w:val="single" w:sz="12" w:space="0" w:color="auto"/>
              <w:left w:val="single" w:sz="12" w:space="0" w:color="auto"/>
              <w:bottom w:val="single" w:sz="12" w:space="0" w:color="auto"/>
              <w:right w:val="single" w:sz="12" w:space="0" w:color="auto"/>
            </w:tcBorders>
            <w:vAlign w:val="center"/>
          </w:tcPr>
          <w:p w14:paraId="71043D27" w14:textId="305DF1A7" w:rsidR="00BB7939" w:rsidRPr="006846C0" w:rsidRDefault="00BB7939" w:rsidP="00BB7939">
            <w:pPr>
              <w:spacing w:after="0"/>
              <w:jc w:val="right"/>
              <w:rPr>
                <w:rFonts w:eastAsia="Times New Roman" w:cs="Times New Roman"/>
                <w:color w:val="000000"/>
                <w:sz w:val="12"/>
                <w:szCs w:val="12"/>
                <w:lang w:eastAsia="sv-SE"/>
              </w:rPr>
            </w:pPr>
            <w:r w:rsidRPr="006846C0">
              <w:rPr>
                <w:rFonts w:eastAsia="Times New Roman" w:cs="Times New Roman"/>
                <w:color w:val="000000"/>
                <w:sz w:val="12"/>
                <w:szCs w:val="12"/>
                <w:lang w:eastAsia="sv-SE"/>
              </w:rPr>
              <w:t>736,4</w:t>
            </w:r>
          </w:p>
        </w:tc>
        <w:tc>
          <w:tcPr>
            <w:tcW w:w="778" w:type="pct"/>
            <w:tcBorders>
              <w:top w:val="single" w:sz="12" w:space="0" w:color="auto"/>
              <w:left w:val="single" w:sz="12" w:space="0" w:color="auto"/>
              <w:bottom w:val="single" w:sz="12" w:space="0" w:color="auto"/>
              <w:right w:val="single" w:sz="12" w:space="0" w:color="auto"/>
            </w:tcBorders>
            <w:shd w:val="clear" w:color="auto" w:fill="auto"/>
            <w:noWrap/>
            <w:vAlign w:val="center"/>
          </w:tcPr>
          <w:p w14:paraId="5AA7259C" w14:textId="3A7BA9C7" w:rsidR="00BB7939" w:rsidRPr="006846C0" w:rsidRDefault="00BB7939" w:rsidP="00BB7939">
            <w:pPr>
              <w:spacing w:after="0"/>
              <w:jc w:val="right"/>
              <w:rPr>
                <w:rFonts w:eastAsia="Times New Roman" w:cs="Times New Roman"/>
                <w:color w:val="000000"/>
                <w:sz w:val="12"/>
                <w:szCs w:val="12"/>
                <w:lang w:eastAsia="sv-SE"/>
              </w:rPr>
            </w:pPr>
            <w:r w:rsidRPr="006846C0">
              <w:rPr>
                <w:rFonts w:eastAsia="Times New Roman" w:cs="Times New Roman"/>
                <w:color w:val="000000"/>
                <w:sz w:val="12"/>
                <w:szCs w:val="12"/>
                <w:lang w:eastAsia="sv-SE"/>
              </w:rPr>
              <w:t>652,8</w:t>
            </w:r>
          </w:p>
        </w:tc>
      </w:tr>
      <w:tr w:rsidR="0040519B" w:rsidRPr="004B65BA" w14:paraId="1CFA61B5" w14:textId="77777777" w:rsidTr="0040519B">
        <w:trPr>
          <w:trHeight w:val="371"/>
        </w:trPr>
        <w:tc>
          <w:tcPr>
            <w:tcW w:w="344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303E49B" w14:textId="77777777" w:rsidR="0040519B" w:rsidRPr="006846C0" w:rsidRDefault="0040519B" w:rsidP="0027054C">
            <w:pPr>
              <w:spacing w:after="0"/>
              <w:rPr>
                <w:rFonts w:eastAsia="Times New Roman" w:cs="Times New Roman"/>
                <w:b/>
                <w:bCs/>
                <w:color w:val="000000"/>
                <w:sz w:val="12"/>
                <w:szCs w:val="12"/>
                <w:lang w:eastAsia="sv-SE"/>
              </w:rPr>
            </w:pPr>
            <w:r w:rsidRPr="006846C0">
              <w:rPr>
                <w:rFonts w:eastAsia="Times New Roman" w:cs="Times New Roman"/>
                <w:b/>
                <w:bCs/>
                <w:color w:val="000000"/>
                <w:sz w:val="12"/>
                <w:szCs w:val="12"/>
                <w:lang w:eastAsia="sv-SE"/>
              </w:rPr>
              <w:t>Genomsnittlig ersättning baserat på antalet heltidsekvivalenter</w:t>
            </w:r>
          </w:p>
        </w:tc>
        <w:tc>
          <w:tcPr>
            <w:tcW w:w="778" w:type="pct"/>
            <w:tcBorders>
              <w:top w:val="single" w:sz="12" w:space="0" w:color="auto"/>
              <w:left w:val="single" w:sz="12" w:space="0" w:color="auto"/>
              <w:bottom w:val="single" w:sz="12" w:space="0" w:color="auto"/>
              <w:right w:val="single" w:sz="12" w:space="0" w:color="auto"/>
            </w:tcBorders>
            <w:vAlign w:val="center"/>
          </w:tcPr>
          <w:p w14:paraId="1D40CC9C" w14:textId="77777777" w:rsidR="0040519B" w:rsidRPr="006846C0" w:rsidRDefault="0040519B" w:rsidP="0027054C">
            <w:pPr>
              <w:spacing w:after="0"/>
              <w:jc w:val="right"/>
              <w:rPr>
                <w:rFonts w:eastAsia="Times New Roman" w:cs="Times New Roman"/>
                <w:b/>
                <w:bCs/>
                <w:color w:val="000000"/>
                <w:sz w:val="12"/>
                <w:szCs w:val="12"/>
                <w:lang w:eastAsia="sv-SE"/>
              </w:rPr>
            </w:pPr>
          </w:p>
        </w:tc>
        <w:tc>
          <w:tcPr>
            <w:tcW w:w="778"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765E72C" w14:textId="4AAB008C" w:rsidR="0040519B" w:rsidRPr="006846C0" w:rsidRDefault="0040519B" w:rsidP="0027054C">
            <w:pPr>
              <w:spacing w:after="0"/>
              <w:jc w:val="right"/>
              <w:rPr>
                <w:rFonts w:eastAsia="Times New Roman" w:cs="Times New Roman"/>
                <w:b/>
                <w:bCs/>
                <w:color w:val="000000"/>
                <w:sz w:val="12"/>
                <w:szCs w:val="12"/>
                <w:lang w:eastAsia="sv-SE"/>
              </w:rPr>
            </w:pPr>
          </w:p>
        </w:tc>
      </w:tr>
      <w:tr w:rsidR="0040519B" w:rsidRPr="004B65BA" w14:paraId="738028F3" w14:textId="77777777" w:rsidTr="0040519B">
        <w:trPr>
          <w:trHeight w:val="371"/>
        </w:trPr>
        <w:tc>
          <w:tcPr>
            <w:tcW w:w="344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C832FED" w14:textId="0D2D4988" w:rsidR="0040519B" w:rsidRPr="006846C0" w:rsidRDefault="0040519B" w:rsidP="0027054C">
            <w:pPr>
              <w:spacing w:after="0"/>
              <w:jc w:val="both"/>
              <w:rPr>
                <w:rFonts w:eastAsia="Times New Roman" w:cs="Times New Roman"/>
                <w:color w:val="000000"/>
                <w:sz w:val="12"/>
                <w:szCs w:val="12"/>
                <w:lang w:eastAsia="sv-SE"/>
              </w:rPr>
            </w:pPr>
            <w:r w:rsidRPr="006846C0">
              <w:rPr>
                <w:rFonts w:eastAsia="Times New Roman" w:cs="Times New Roman"/>
                <w:color w:val="000000"/>
                <w:sz w:val="12"/>
                <w:szCs w:val="12"/>
                <w:lang w:eastAsia="sv-SE"/>
              </w:rPr>
              <w:t>Anställda i CTEK</w:t>
            </w:r>
            <w:r w:rsidRPr="006846C0">
              <w:rPr>
                <w:rStyle w:val="FootnoteReference"/>
                <w:rFonts w:eastAsia="Times New Roman" w:cs="Times New Roman"/>
                <w:color w:val="000000"/>
                <w:sz w:val="12"/>
                <w:szCs w:val="12"/>
                <w:lang w:eastAsia="sv-SE"/>
              </w:rPr>
              <w:footnoteReference w:id="5"/>
            </w:r>
            <w:r w:rsidRPr="006846C0">
              <w:rPr>
                <w:rFonts w:eastAsia="Times New Roman" w:cs="Times New Roman"/>
                <w:color w:val="000000"/>
                <w:sz w:val="12"/>
                <w:szCs w:val="12"/>
                <w:lang w:eastAsia="sv-SE"/>
              </w:rPr>
              <w:t xml:space="preserve"> </w:t>
            </w:r>
          </w:p>
        </w:tc>
        <w:tc>
          <w:tcPr>
            <w:tcW w:w="778" w:type="pct"/>
            <w:tcBorders>
              <w:top w:val="single" w:sz="12" w:space="0" w:color="auto"/>
              <w:left w:val="single" w:sz="12" w:space="0" w:color="auto"/>
              <w:bottom w:val="single" w:sz="12" w:space="0" w:color="auto"/>
              <w:right w:val="single" w:sz="12" w:space="0" w:color="auto"/>
            </w:tcBorders>
            <w:vAlign w:val="center"/>
          </w:tcPr>
          <w:p w14:paraId="559C0839" w14:textId="3A4F66BD" w:rsidR="0040519B" w:rsidRPr="006846C0" w:rsidRDefault="0040519B" w:rsidP="0027054C">
            <w:pPr>
              <w:spacing w:after="0"/>
              <w:jc w:val="right"/>
              <w:rPr>
                <w:rFonts w:eastAsia="Times New Roman" w:cs="Times New Roman"/>
                <w:color w:val="000000"/>
                <w:sz w:val="12"/>
                <w:szCs w:val="12"/>
                <w:lang w:eastAsia="sv-SE"/>
              </w:rPr>
            </w:pPr>
            <w:r w:rsidRPr="006846C0">
              <w:rPr>
                <w:rFonts w:eastAsia="Times New Roman" w:cs="Times New Roman"/>
                <w:color w:val="000000"/>
                <w:sz w:val="12"/>
                <w:szCs w:val="12"/>
                <w:lang w:eastAsia="sv-SE"/>
              </w:rPr>
              <w:t>0,</w:t>
            </w:r>
            <w:r w:rsidR="002006DD" w:rsidRPr="006846C0">
              <w:rPr>
                <w:rFonts w:eastAsia="Times New Roman" w:cs="Times New Roman"/>
                <w:color w:val="000000"/>
                <w:sz w:val="12"/>
                <w:szCs w:val="12"/>
                <w:lang w:eastAsia="sv-SE"/>
              </w:rPr>
              <w:t>73</w:t>
            </w:r>
          </w:p>
        </w:tc>
        <w:tc>
          <w:tcPr>
            <w:tcW w:w="778"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FD26266" w14:textId="59656A7B" w:rsidR="0040519B" w:rsidRPr="006846C0" w:rsidRDefault="0040519B" w:rsidP="0027054C">
            <w:pPr>
              <w:spacing w:after="0"/>
              <w:jc w:val="right"/>
              <w:rPr>
                <w:rFonts w:eastAsia="Times New Roman" w:cs="Times New Roman"/>
                <w:color w:val="000000"/>
                <w:sz w:val="12"/>
                <w:szCs w:val="12"/>
                <w:lang w:eastAsia="sv-SE"/>
              </w:rPr>
            </w:pPr>
            <w:r w:rsidRPr="006846C0">
              <w:rPr>
                <w:rFonts w:eastAsia="Times New Roman" w:cs="Times New Roman"/>
                <w:color w:val="000000"/>
                <w:sz w:val="12"/>
                <w:szCs w:val="12"/>
                <w:lang w:eastAsia="sv-SE"/>
              </w:rPr>
              <w:t>0,73</w:t>
            </w:r>
          </w:p>
        </w:tc>
      </w:tr>
      <w:bookmarkEnd w:id="1"/>
    </w:tbl>
    <w:p w14:paraId="5FFA9D73" w14:textId="00C089F3" w:rsidR="00213B70" w:rsidRPr="00E56B2E" w:rsidRDefault="00213B70" w:rsidP="00FA5A5A">
      <w:pPr>
        <w:rPr>
          <w:sz w:val="12"/>
          <w:szCs w:val="14"/>
        </w:rPr>
      </w:pPr>
    </w:p>
    <w:p w14:paraId="64D72631" w14:textId="41C6272F" w:rsidR="00807C1A" w:rsidRPr="00AB5CA3" w:rsidRDefault="00FA5A5A" w:rsidP="00C61EC8">
      <w:pPr>
        <w:pStyle w:val="Heading1"/>
        <w:numPr>
          <w:ilvl w:val="0"/>
          <w:numId w:val="0"/>
        </w:numPr>
        <w:rPr>
          <w:rFonts w:ascii="Verdana" w:hAnsi="Verdana"/>
          <w:sz w:val="20"/>
          <w:szCs w:val="12"/>
          <w:lang w:val="sv-SE"/>
        </w:rPr>
      </w:pPr>
      <w:r w:rsidRPr="00AB5CA3">
        <w:rPr>
          <w:rFonts w:ascii="Verdana" w:hAnsi="Verdana"/>
          <w:sz w:val="20"/>
          <w:szCs w:val="12"/>
          <w:lang w:val="sv-SE"/>
        </w:rPr>
        <w:t>Utestående aktierelaterade incitamentsprogram</w:t>
      </w:r>
      <w:r w:rsidR="0041248A" w:rsidRPr="00AB5CA3">
        <w:rPr>
          <w:rFonts w:ascii="Verdana" w:hAnsi="Verdana"/>
          <w:sz w:val="20"/>
          <w:szCs w:val="12"/>
          <w:lang w:val="sv-SE"/>
        </w:rPr>
        <w:t xml:space="preserve"> LTI </w:t>
      </w:r>
      <w:r w:rsidR="00EA16AD" w:rsidRPr="00AB5CA3">
        <w:rPr>
          <w:rFonts w:ascii="Verdana" w:hAnsi="Verdana"/>
          <w:sz w:val="20"/>
          <w:szCs w:val="12"/>
          <w:lang w:val="sv-SE"/>
        </w:rPr>
        <w:t>20</w:t>
      </w:r>
      <w:r w:rsidR="0041248A" w:rsidRPr="00AB5CA3">
        <w:rPr>
          <w:rFonts w:ascii="Verdana" w:hAnsi="Verdana"/>
          <w:sz w:val="20"/>
          <w:szCs w:val="12"/>
          <w:lang w:val="sv-SE"/>
        </w:rPr>
        <w:t>24</w:t>
      </w:r>
    </w:p>
    <w:p w14:paraId="384B3BA3" w14:textId="4629933F" w:rsidR="003209C9" w:rsidRDefault="003209C9" w:rsidP="003209C9">
      <w:pPr>
        <w:jc w:val="both"/>
      </w:pPr>
      <w:r w:rsidRPr="003209C9">
        <w:t>CT</w:t>
      </w:r>
      <w:r>
        <w:t xml:space="preserve">EK har </w:t>
      </w:r>
      <w:r w:rsidR="000569F7">
        <w:t>långsiktiga</w:t>
      </w:r>
      <w:r>
        <w:t xml:space="preserve"> incitamentsprogram som erbjudits ledande befattningshavare</w:t>
      </w:r>
      <w:r w:rsidR="00AB5CA3">
        <w:t>.</w:t>
      </w:r>
      <w:r>
        <w:t xml:space="preserve"> </w:t>
      </w:r>
      <w:r w:rsidR="00E34236">
        <w:t xml:space="preserve">Syftet med dessa incitamentsprogram är att koppla ersättningen för ledande befattningshavare till </w:t>
      </w:r>
      <w:proofErr w:type="gramStart"/>
      <w:r w:rsidR="00E34236">
        <w:t>CTEKs</w:t>
      </w:r>
      <w:proofErr w:type="gramEnd"/>
      <w:r w:rsidR="00E34236">
        <w:t xml:space="preserve"> långsiktiga värdetillväxt. </w:t>
      </w:r>
      <w:r>
        <w:t>Programmen är utformade så att deltagarnas incitament överensstämmer med aktieägarnas intressen</w:t>
      </w:r>
      <w:r w:rsidR="00E34236">
        <w:t xml:space="preserve"> och därmed säkerställer långsiktigt värdeskapande.</w:t>
      </w:r>
    </w:p>
    <w:p w14:paraId="0D4B5AA8" w14:textId="75E2306A" w:rsidR="00FA5A5A" w:rsidRDefault="00701D87" w:rsidP="00701D87">
      <w:pPr>
        <w:jc w:val="both"/>
      </w:pPr>
      <w:r w:rsidRPr="00701D87">
        <w:t>Den 23 september 2021 antog bolagsstämman efter förslag från styrelsen ett långsiktigt incitamentsprogram för ledande befattningshavare i bolaget. LTIP 2024 omfattar högst 262 930 teckningsoptioner med en intjänandeperiod om tre år. Varje teckningsoption berättigar till teck</w:t>
      </w:r>
      <w:r w:rsidRPr="00701D87">
        <w:softHyphen/>
        <w:t>ning av en aktie i bolaget. 196 551 teckningsoptioner av totalt 262 930 har</w:t>
      </w:r>
      <w:r w:rsidR="00E34236">
        <w:t xml:space="preserve"> under 2021</w:t>
      </w:r>
      <w:r w:rsidRPr="00701D87">
        <w:t xml:space="preserve"> tecknats av fem individer inom två kategorier i egenskap av ledande befattningshavare i CTEK enligt följande fördelning: VD har erhållit 105 172 teckningsoptioner genom en investering om 1 MSEK och två ledande befattningshavare har erhållit 26 293 teckningsoptioner vardera genom en investering om 0,25 MSEK vardera. Efter 30 september 2021 har resterande två ledande befattningshavare erhållit 26 293 respektive 12 500 teckningsoptioner vardera genom en investering om 0,25 MSEK och 0,12 MSEK vardera. Teckningsoptionerna tecknades av ett av bolagets dotterbolag och vidareöverläts inom ramen för LTIP 2024 till ledande befattningshavare, på marknadsmässiga villkor till ett pris om 9,51 SEK per option fastställt utifrån ett beräknat marknadsvärde med tillämpning av Black</w:t>
      </w:r>
      <w:r w:rsidR="00D20108">
        <w:t>-</w:t>
      </w:r>
      <w:r w:rsidRPr="00701D87">
        <w:t>Scholes värderingsmodell.</w:t>
      </w:r>
    </w:p>
    <w:p w14:paraId="501F6C87" w14:textId="25D94A02" w:rsidR="00163DBA" w:rsidRDefault="00D73366" w:rsidP="00701D87">
      <w:pPr>
        <w:jc w:val="both"/>
      </w:pPr>
      <w:r>
        <w:t>Vid utnyttjande av samtliga 196 551 teckningsoptioner i LTIP 2024 kan en maximal utspädning motsvarande 0,</w:t>
      </w:r>
      <w:r w:rsidR="00915B02">
        <w:t>28</w:t>
      </w:r>
      <w:r>
        <w:t xml:space="preserve"> procent</w:t>
      </w:r>
      <w:r w:rsidR="000E48A7">
        <w:t xml:space="preserve"> av aktierna i bolaget </w:t>
      </w:r>
      <w:r>
        <w:t>ske.</w:t>
      </w:r>
    </w:p>
    <w:p w14:paraId="1E10CB73" w14:textId="69DA19CD" w:rsidR="00163DBA" w:rsidRPr="00705242" w:rsidRDefault="0041248A" w:rsidP="0041248A">
      <w:pPr>
        <w:pStyle w:val="Heading1"/>
        <w:numPr>
          <w:ilvl w:val="0"/>
          <w:numId w:val="0"/>
        </w:numPr>
        <w:ind w:left="720" w:hanging="720"/>
        <w:rPr>
          <w:rFonts w:ascii="Verdana" w:hAnsi="Verdana"/>
          <w:sz w:val="20"/>
          <w:lang w:val="sv-SE"/>
        </w:rPr>
      </w:pPr>
      <w:r w:rsidRPr="00705242">
        <w:rPr>
          <w:rFonts w:ascii="Verdana" w:hAnsi="Verdana"/>
          <w:sz w:val="20"/>
          <w:lang w:val="sv-SE"/>
        </w:rPr>
        <w:t>Utestående aktierelaterade incitamentsprogram LTI 202</w:t>
      </w:r>
      <w:r w:rsidR="00705242" w:rsidRPr="00705242">
        <w:rPr>
          <w:rFonts w:ascii="Verdana" w:hAnsi="Verdana"/>
          <w:sz w:val="20"/>
          <w:lang w:val="sv-SE"/>
        </w:rPr>
        <w:t>5</w:t>
      </w:r>
    </w:p>
    <w:p w14:paraId="695802A7" w14:textId="3FF215D1" w:rsidR="00705242" w:rsidRPr="00705242" w:rsidRDefault="00705242" w:rsidP="00705242">
      <w:pPr>
        <w:jc w:val="both"/>
      </w:pPr>
      <w:r w:rsidRPr="00705242">
        <w:t>Den 12 maj 2022 antog bolagsstämman efter förslag från styrelsen ett långsiktigt incitamentsprogram för ledande befattningshavare i bolaget. LTI 2025 omfattar högst 100 000 teckningsoptioner med en intjänan</w:t>
      </w:r>
      <w:r w:rsidRPr="00705242">
        <w:softHyphen/>
        <w:t>deperiod om tre år. Varje teckningsoption berättigar till teckning av en aktie i bolaget. 84 285 teckningsoptioner av totalt 100 000 har tecknats av sju ledande befattningshavare i CTEK enligt följande fördelning: VD har erhållit 24 000 teckningsoptioner genom en investering om 260 160 SEK och fem ledande befattningshavare har erhållit 10 857 teckningsop</w:t>
      </w:r>
      <w:r w:rsidRPr="00705242">
        <w:softHyphen/>
        <w:t>tioner vardera genom en investering om 93 261 SEK vardera. En ledande befattningshavare har erhållit 6 000 teckningsoptioner genom en investe</w:t>
      </w:r>
      <w:r w:rsidRPr="00705242">
        <w:softHyphen/>
        <w:t>ring om 51 540 SEK. Teckningsoptionerna tecknades av ett av bolagets dotterbolag och vidareöverläts inom ramen för LTI 2025 till ledande befattningshavare, på marknadsmässiga villkor till ett pris om 8,59 SEK per option fastställt utifrån ett beräknat marknadsvärde med tillämpning av Black</w:t>
      </w:r>
      <w:r w:rsidR="00D20108">
        <w:t>-</w:t>
      </w:r>
      <w:r w:rsidRPr="00705242">
        <w:t xml:space="preserve">Scholes värderingsmodell. </w:t>
      </w:r>
    </w:p>
    <w:p w14:paraId="7E76B732" w14:textId="7371B594" w:rsidR="00172AB6" w:rsidRDefault="00705242" w:rsidP="00705242">
      <w:pPr>
        <w:jc w:val="both"/>
      </w:pPr>
      <w:r w:rsidRPr="00705242">
        <w:t>Vid utnyttjande av samtliga 84 285 teckningsoptioner i LTI 2025 kan en maximal utspädning motsvarande 0,</w:t>
      </w:r>
      <w:r w:rsidR="00915B02">
        <w:t>12</w:t>
      </w:r>
      <w:r w:rsidRPr="00705242">
        <w:t xml:space="preserve"> procent ske.</w:t>
      </w:r>
    </w:p>
    <w:p w14:paraId="06701FEC" w14:textId="6F1CC49B" w:rsidR="00172AB6" w:rsidRPr="00705242" w:rsidRDefault="00172AB6" w:rsidP="00172AB6">
      <w:pPr>
        <w:pStyle w:val="Heading1"/>
        <w:numPr>
          <w:ilvl w:val="0"/>
          <w:numId w:val="0"/>
        </w:numPr>
        <w:ind w:left="720" w:hanging="720"/>
        <w:rPr>
          <w:rFonts w:ascii="Verdana" w:hAnsi="Verdana"/>
          <w:sz w:val="20"/>
          <w:lang w:val="sv-SE"/>
        </w:rPr>
      </w:pPr>
      <w:r w:rsidRPr="00705242">
        <w:rPr>
          <w:rFonts w:ascii="Verdana" w:hAnsi="Verdana"/>
          <w:sz w:val="20"/>
          <w:lang w:val="sv-SE"/>
        </w:rPr>
        <w:t>Utestående aktierelaterade incitamentsprogram LTI 202</w:t>
      </w:r>
      <w:r>
        <w:rPr>
          <w:rFonts w:ascii="Verdana" w:hAnsi="Verdana"/>
          <w:sz w:val="20"/>
          <w:lang w:val="sv-SE"/>
        </w:rPr>
        <w:t>6</w:t>
      </w:r>
    </w:p>
    <w:p w14:paraId="1685526A" w14:textId="06DBD7A6" w:rsidR="00172AB6" w:rsidRPr="00705242" w:rsidRDefault="00172AB6" w:rsidP="00172AB6">
      <w:pPr>
        <w:jc w:val="both"/>
      </w:pPr>
      <w:r w:rsidRPr="00705242">
        <w:t>Den 1</w:t>
      </w:r>
      <w:r>
        <w:t>1</w:t>
      </w:r>
      <w:r w:rsidRPr="00705242">
        <w:t xml:space="preserve"> maj 202</w:t>
      </w:r>
      <w:r>
        <w:t>3</w:t>
      </w:r>
      <w:r w:rsidRPr="00705242">
        <w:t xml:space="preserve"> antog </w:t>
      </w:r>
      <w:r w:rsidR="00915B02" w:rsidRPr="00705242">
        <w:t>bolagsstämman</w:t>
      </w:r>
      <w:r w:rsidR="00915B02">
        <w:t>,</w:t>
      </w:r>
      <w:r w:rsidR="00915B02" w:rsidRPr="00705242">
        <w:t xml:space="preserve"> efter</w:t>
      </w:r>
      <w:r w:rsidRPr="00705242">
        <w:t xml:space="preserve"> förslag från styrelsen</w:t>
      </w:r>
      <w:r w:rsidR="00915B02">
        <w:t>,</w:t>
      </w:r>
      <w:r w:rsidRPr="00705242">
        <w:t xml:space="preserve"> ett långsiktigt incitamentsprogram för ledande befattningshavare i bolaget. LTI 202</w:t>
      </w:r>
      <w:r>
        <w:t>6</w:t>
      </w:r>
      <w:r w:rsidRPr="00705242">
        <w:t xml:space="preserve"> omfattar högst 100 </w:t>
      </w:r>
      <w:r>
        <w:t>856</w:t>
      </w:r>
      <w:r w:rsidRPr="00705242">
        <w:t xml:space="preserve"> teckningsoptioner med en intjänan</w:t>
      </w:r>
      <w:r w:rsidRPr="00705242">
        <w:softHyphen/>
        <w:t xml:space="preserve">deperiod om tre år. Varje teckningsoption berättigar till teckning av en aktie i bolaget. </w:t>
      </w:r>
      <w:r w:rsidR="001423EF">
        <w:t>95</w:t>
      </w:r>
      <w:r w:rsidRPr="00705242">
        <w:t xml:space="preserve"> </w:t>
      </w:r>
      <w:r w:rsidR="001423EF">
        <w:t>142</w:t>
      </w:r>
      <w:r w:rsidRPr="00705242">
        <w:t xml:space="preserve"> teckningsoptioner av totalt 100 </w:t>
      </w:r>
      <w:r w:rsidR="001423EF">
        <w:t>856</w:t>
      </w:r>
      <w:r w:rsidRPr="00705242">
        <w:t xml:space="preserve"> har tecknats av </w:t>
      </w:r>
      <w:r w:rsidR="001423EF">
        <w:t>nio</w:t>
      </w:r>
      <w:r w:rsidRPr="00705242">
        <w:t xml:space="preserve"> ledande befattningshavare i CTEK enligt följande fördelning: VD har erhållit 24 000 teckningsoptioner genom en investering om </w:t>
      </w:r>
      <w:r w:rsidR="001423EF">
        <w:t>151</w:t>
      </w:r>
      <w:r w:rsidRPr="00705242">
        <w:t xml:space="preserve"> </w:t>
      </w:r>
      <w:r w:rsidR="001423EF">
        <w:t>440</w:t>
      </w:r>
      <w:r w:rsidRPr="00705242">
        <w:t xml:space="preserve"> SEK och </w:t>
      </w:r>
      <w:r w:rsidR="001423EF">
        <w:t>sex</w:t>
      </w:r>
      <w:r w:rsidRPr="00705242">
        <w:t xml:space="preserve"> ledande </w:t>
      </w:r>
      <w:r w:rsidRPr="00705242">
        <w:lastRenderedPageBreak/>
        <w:t>befattningshavare har erhållit 10 857 teckningsop</w:t>
      </w:r>
      <w:r w:rsidRPr="00705242">
        <w:softHyphen/>
        <w:t xml:space="preserve">tioner vardera genom en investering om </w:t>
      </w:r>
      <w:r w:rsidR="001423EF">
        <w:t>68</w:t>
      </w:r>
      <w:r w:rsidRPr="00705242">
        <w:t xml:space="preserve"> </w:t>
      </w:r>
      <w:r w:rsidR="001423EF">
        <w:t>508</w:t>
      </w:r>
      <w:r w:rsidRPr="00705242">
        <w:t xml:space="preserve"> SEK vardera. </w:t>
      </w:r>
      <w:r w:rsidR="001423EF">
        <w:t>Två</w:t>
      </w:r>
      <w:r w:rsidRPr="00705242">
        <w:t xml:space="preserve"> ledande befattningshavare har erhållit </w:t>
      </w:r>
      <w:r w:rsidR="001423EF">
        <w:t>1 </w:t>
      </w:r>
      <w:r w:rsidRPr="00705242">
        <w:t>000</w:t>
      </w:r>
      <w:r w:rsidR="001423EF">
        <w:t xml:space="preserve"> respektive 5 000</w:t>
      </w:r>
      <w:r w:rsidRPr="00705242">
        <w:t xml:space="preserve"> teckningsoptioner genom en investe</w:t>
      </w:r>
      <w:r w:rsidRPr="00705242">
        <w:softHyphen/>
        <w:t xml:space="preserve">ring om </w:t>
      </w:r>
      <w:r w:rsidR="001423EF">
        <w:t>6</w:t>
      </w:r>
      <w:r w:rsidRPr="00705242">
        <w:t xml:space="preserve"> </w:t>
      </w:r>
      <w:r w:rsidR="001423EF">
        <w:t>310</w:t>
      </w:r>
      <w:r w:rsidRPr="00705242">
        <w:t xml:space="preserve"> SEK</w:t>
      </w:r>
      <w:r w:rsidR="001423EF">
        <w:t xml:space="preserve"> respektive 31 550 SEK</w:t>
      </w:r>
      <w:r w:rsidRPr="00705242">
        <w:t>. Teckningsoptionerna tecknades av ett av bolagets dotterbolag och vidareöverläts inom ramen för LTI 202</w:t>
      </w:r>
      <w:r w:rsidR="001423EF">
        <w:t>6</w:t>
      </w:r>
      <w:r w:rsidRPr="00705242">
        <w:t xml:space="preserve"> till ledande befattningshavare, på marknadsmässiga villkor till ett pris om </w:t>
      </w:r>
      <w:r w:rsidR="001423EF">
        <w:t>6</w:t>
      </w:r>
      <w:r w:rsidRPr="00705242">
        <w:t>,</w:t>
      </w:r>
      <w:r w:rsidR="001423EF">
        <w:t>31</w:t>
      </w:r>
      <w:r w:rsidRPr="00705242">
        <w:t xml:space="preserve"> SEK per option fastställt utifrån ett beräknat marknadsvärde med tillämpning av Black</w:t>
      </w:r>
      <w:r>
        <w:t>-</w:t>
      </w:r>
      <w:r w:rsidRPr="00705242">
        <w:t xml:space="preserve">Scholes värderingsmodell. </w:t>
      </w:r>
    </w:p>
    <w:p w14:paraId="13B77065" w14:textId="40CA1ADC" w:rsidR="00172AB6" w:rsidRDefault="00172AB6" w:rsidP="00172AB6">
      <w:pPr>
        <w:jc w:val="both"/>
      </w:pPr>
      <w:r w:rsidRPr="00705242">
        <w:t xml:space="preserve">Vid utnyttjande av samtliga </w:t>
      </w:r>
      <w:r w:rsidR="001423EF">
        <w:t>95</w:t>
      </w:r>
      <w:r w:rsidRPr="00705242">
        <w:t xml:space="preserve"> </w:t>
      </w:r>
      <w:r w:rsidR="001423EF">
        <w:t>142</w:t>
      </w:r>
      <w:r w:rsidRPr="00705242">
        <w:t xml:space="preserve"> teckningsoptioner i LTI 202</w:t>
      </w:r>
      <w:r w:rsidR="001423EF">
        <w:t>6</w:t>
      </w:r>
      <w:r w:rsidRPr="00705242">
        <w:t xml:space="preserve"> kan en maximal utspädning motsvarande 0,1</w:t>
      </w:r>
      <w:r w:rsidR="00250BC5">
        <w:t>4</w:t>
      </w:r>
      <w:r w:rsidRPr="00705242">
        <w:t xml:space="preserve"> procent ske.</w:t>
      </w:r>
    </w:p>
    <w:p w14:paraId="5E7D0C1B" w14:textId="0334D08C" w:rsidR="008A4129" w:rsidRDefault="008A4129" w:rsidP="008A4129">
      <w:pPr>
        <w:pStyle w:val="Heading1"/>
        <w:numPr>
          <w:ilvl w:val="0"/>
          <w:numId w:val="0"/>
        </w:numPr>
        <w:ind w:left="720" w:hanging="720"/>
        <w:rPr>
          <w:rFonts w:ascii="Verdana" w:hAnsi="Verdana"/>
          <w:sz w:val="20"/>
          <w:lang w:val="sv-SE"/>
        </w:rPr>
      </w:pPr>
      <w:r>
        <w:rPr>
          <w:rFonts w:ascii="Verdana" w:hAnsi="Verdana"/>
          <w:sz w:val="20"/>
          <w:lang w:val="sv-SE"/>
        </w:rPr>
        <w:t>Kontantbaserat långsiktigt incitamentsprogram</w:t>
      </w:r>
    </w:p>
    <w:p w14:paraId="0C1200D7" w14:textId="043C2593" w:rsidR="008A4129" w:rsidRPr="008A4129" w:rsidRDefault="008A4129" w:rsidP="008A4129">
      <w:pPr>
        <w:jc w:val="both"/>
        <w:rPr>
          <w:rFonts w:ascii="Aptos" w:hAnsi="Aptos"/>
        </w:rPr>
      </w:pPr>
      <w:r>
        <w:t xml:space="preserve">Under 2024 infördes ett kontantbaserat långsiktigt incitamentsprogram för VD och ledande befattningshavare, i enlighet med de av årsstämman godkända ersättningsriktlinjerna 2024. </w:t>
      </w:r>
    </w:p>
    <w:p w14:paraId="29B6F09A" w14:textId="77777777" w:rsidR="008A4129" w:rsidRDefault="008A4129" w:rsidP="008A4129">
      <w:pPr>
        <w:jc w:val="both"/>
      </w:pPr>
      <w:r>
        <w:t>Långsiktig rörlig kontantersättning ska kunna mätas och tjänas in årligen under en period om tre år. Sådan ersättning får uppgå till högst 60 procent av den sammanlagda fasta kontantlönen för ett år för verkställande direktör, och 40 procent för ledande befattningshavare. Utfall efter tre år och efter avdragen skatt ska, av verkställande direktör och ledande befattningshavare, investeras i CTEK-aktier på marknaden. Sådana aktier ska behållas i minst tre år om inte styrelsen godkänner annat.</w:t>
      </w:r>
    </w:p>
    <w:p w14:paraId="2548BC6A" w14:textId="77777777" w:rsidR="008A4129" w:rsidRPr="008A4129" w:rsidRDefault="008A4129" w:rsidP="008A4129"/>
    <w:p w14:paraId="5E7E8C7B" w14:textId="77777777" w:rsidR="008A4129" w:rsidRPr="008A4129" w:rsidRDefault="008A4129" w:rsidP="008A4129">
      <w:pPr>
        <w:pStyle w:val="Heading1"/>
        <w:numPr>
          <w:ilvl w:val="0"/>
          <w:numId w:val="0"/>
        </w:numPr>
        <w:rPr>
          <w:lang w:val="sv-SE"/>
        </w:rPr>
      </w:pPr>
    </w:p>
    <w:p w14:paraId="73AE729E" w14:textId="77777777" w:rsidR="00172AB6" w:rsidRPr="00701D87" w:rsidRDefault="00172AB6" w:rsidP="00705242">
      <w:pPr>
        <w:jc w:val="both"/>
      </w:pPr>
    </w:p>
    <w:sectPr w:rsidR="00172AB6" w:rsidRPr="00701D87" w:rsidSect="00D95343">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3387B" w14:textId="77777777" w:rsidR="008D4FD3" w:rsidRDefault="008D4FD3" w:rsidP="00381105">
      <w:pPr>
        <w:spacing w:after="0"/>
      </w:pPr>
      <w:r>
        <w:separator/>
      </w:r>
    </w:p>
  </w:endnote>
  <w:endnote w:type="continuationSeparator" w:id="0">
    <w:p w14:paraId="6F832DAA" w14:textId="77777777" w:rsidR="008D4FD3" w:rsidRDefault="008D4FD3" w:rsidP="00381105">
      <w:pPr>
        <w:spacing w:after="0"/>
      </w:pPr>
      <w:r>
        <w:continuationSeparator/>
      </w:r>
    </w:p>
  </w:endnote>
  <w:endnote w:type="continuationNotice" w:id="1">
    <w:p w14:paraId="254DD0A7" w14:textId="77777777" w:rsidR="008D4FD3" w:rsidRDefault="008D4F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no Pro">
    <w:panose1 w:val="00000000000000000000"/>
    <w:charset w:val="00"/>
    <w:family w:val="roman"/>
    <w:notTrueType/>
    <w:pitch w:val="variable"/>
    <w:sig w:usb0="60000287" w:usb1="00000001" w:usb2="00000000" w:usb3="00000000" w:csb0="0000019F" w:csb1="00000000"/>
  </w:font>
  <w:font w:name="Aptos">
    <w:charset w:val="00"/>
    <w:family w:val="swiss"/>
    <w:pitch w:val="variable"/>
    <w:sig w:usb0="20000287" w:usb1="00000003" w:usb2="00000000" w:usb3="00000000" w:csb0="0000019F" w:csb1="00000000"/>
  </w:font>
  <w:font w:name="Forza-Ligh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5145329"/>
      <w:docPartObj>
        <w:docPartGallery w:val="Page Numbers (Bottom of Page)"/>
        <w:docPartUnique/>
      </w:docPartObj>
    </w:sdtPr>
    <w:sdtEndPr>
      <w:rPr>
        <w:rFonts w:ascii="Verdana" w:hAnsi="Verdana"/>
        <w:noProof/>
        <w:sz w:val="16"/>
        <w:szCs w:val="16"/>
      </w:rPr>
    </w:sdtEndPr>
    <w:sdtContent>
      <w:p w14:paraId="19009055" w14:textId="388D9424" w:rsidR="00D95343" w:rsidRPr="006B7927" w:rsidRDefault="00D95343">
        <w:pPr>
          <w:pStyle w:val="Footer"/>
          <w:jc w:val="right"/>
          <w:rPr>
            <w:rFonts w:ascii="Verdana" w:hAnsi="Verdana"/>
            <w:sz w:val="16"/>
            <w:szCs w:val="16"/>
          </w:rPr>
        </w:pPr>
        <w:r w:rsidRPr="006B7927">
          <w:rPr>
            <w:rFonts w:ascii="Verdana" w:hAnsi="Verdana"/>
            <w:sz w:val="16"/>
            <w:szCs w:val="16"/>
          </w:rPr>
          <w:fldChar w:fldCharType="begin"/>
        </w:r>
        <w:r w:rsidRPr="006B7927">
          <w:rPr>
            <w:rFonts w:ascii="Verdana" w:hAnsi="Verdana"/>
            <w:sz w:val="16"/>
            <w:szCs w:val="16"/>
          </w:rPr>
          <w:instrText xml:space="preserve"> PAGE   \* MERGEFORMAT </w:instrText>
        </w:r>
        <w:r w:rsidRPr="006B7927">
          <w:rPr>
            <w:rFonts w:ascii="Verdana" w:hAnsi="Verdana"/>
            <w:sz w:val="16"/>
            <w:szCs w:val="16"/>
          </w:rPr>
          <w:fldChar w:fldCharType="separate"/>
        </w:r>
        <w:r w:rsidRPr="006B7927">
          <w:rPr>
            <w:rFonts w:ascii="Verdana" w:hAnsi="Verdana"/>
            <w:noProof/>
            <w:sz w:val="16"/>
            <w:szCs w:val="16"/>
          </w:rPr>
          <w:t>2</w:t>
        </w:r>
        <w:r w:rsidRPr="006B7927">
          <w:rPr>
            <w:rFonts w:ascii="Verdana" w:hAnsi="Verdana"/>
            <w:noProof/>
            <w:sz w:val="16"/>
            <w:szCs w:val="16"/>
          </w:rPr>
          <w:fldChar w:fldCharType="end"/>
        </w:r>
      </w:p>
    </w:sdtContent>
  </w:sdt>
  <w:p w14:paraId="6F091D78" w14:textId="3E458BB1" w:rsidR="00381105" w:rsidRPr="00320056" w:rsidRDefault="00381105" w:rsidP="00320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34FF5" w14:textId="67E6E142" w:rsidR="00DB0C7F" w:rsidRPr="00381105" w:rsidRDefault="00DB0C7F" w:rsidP="00DB0C7F">
    <w:pPr>
      <w:autoSpaceDE w:val="0"/>
      <w:autoSpaceDN w:val="0"/>
      <w:adjustRightInd w:val="0"/>
      <w:spacing w:after="0" w:line="168" w:lineRule="exact"/>
      <w:jc w:val="right"/>
      <w:rPr>
        <w:rFonts w:eastAsia="Verdana" w:cs="Forza-LightItalic"/>
        <w:b/>
        <w:i/>
        <w:iCs/>
        <w:spacing w:val="-6"/>
        <w:sz w:val="13"/>
        <w:szCs w:val="13"/>
      </w:rPr>
    </w:pPr>
    <w:r w:rsidRPr="00381105">
      <w:rPr>
        <w:rFonts w:eastAsia="Verdana" w:cs="Forza-LightItalic"/>
        <w:b/>
        <w:i/>
        <w:iCs/>
        <w:spacing w:val="-6"/>
        <w:sz w:val="13"/>
        <w:szCs w:val="13"/>
      </w:rPr>
      <w:t>CTEK AB</w:t>
    </w:r>
    <w:r w:rsidR="00DA1B0C">
      <w:rPr>
        <w:rFonts w:eastAsia="Verdana" w:cs="Forza-LightItalic"/>
        <w:b/>
        <w:i/>
        <w:iCs/>
        <w:spacing w:val="-6"/>
        <w:sz w:val="13"/>
        <w:szCs w:val="13"/>
      </w:rPr>
      <w:t xml:space="preserve"> </w:t>
    </w:r>
    <w:r w:rsidR="00121DAA">
      <w:rPr>
        <w:rFonts w:eastAsia="Verdana" w:cs="Forza-LightItalic"/>
        <w:b/>
        <w:i/>
        <w:iCs/>
        <w:spacing w:val="-6"/>
        <w:sz w:val="13"/>
        <w:szCs w:val="13"/>
      </w:rPr>
      <w:t>(</w:t>
    </w:r>
    <w:proofErr w:type="spellStart"/>
    <w:r w:rsidR="00121DAA">
      <w:rPr>
        <w:rFonts w:eastAsia="Verdana" w:cs="Forza-LightItalic"/>
        <w:b/>
        <w:i/>
        <w:iCs/>
        <w:spacing w:val="-6"/>
        <w:sz w:val="13"/>
        <w:szCs w:val="13"/>
      </w:rPr>
      <w:t>publ</w:t>
    </w:r>
    <w:proofErr w:type="spellEnd"/>
    <w:r w:rsidR="00121DAA">
      <w:rPr>
        <w:rFonts w:eastAsia="Verdana" w:cs="Forza-LightItalic"/>
        <w:b/>
        <w:i/>
        <w:iCs/>
        <w:spacing w:val="-6"/>
        <w:sz w:val="13"/>
        <w:szCs w:val="13"/>
      </w:rPr>
      <w:t>)</w:t>
    </w:r>
  </w:p>
  <w:p w14:paraId="509F438B" w14:textId="77777777" w:rsidR="00DB0C7F" w:rsidRPr="00381105" w:rsidRDefault="00DB0C7F" w:rsidP="00DB0C7F">
    <w:pPr>
      <w:autoSpaceDE w:val="0"/>
      <w:autoSpaceDN w:val="0"/>
      <w:adjustRightInd w:val="0"/>
      <w:spacing w:after="0" w:line="168" w:lineRule="exact"/>
      <w:jc w:val="right"/>
      <w:rPr>
        <w:rFonts w:eastAsia="Verdana" w:cs="Forza-LightItalic"/>
        <w:i/>
        <w:iCs/>
        <w:spacing w:val="-6"/>
        <w:sz w:val="13"/>
        <w:szCs w:val="13"/>
      </w:rPr>
    </w:pPr>
    <w:r w:rsidRPr="00381105">
      <w:rPr>
        <w:rFonts w:eastAsia="Verdana" w:cs="Forza-LightItalic"/>
        <w:i/>
        <w:iCs/>
        <w:spacing w:val="-6"/>
        <w:sz w:val="13"/>
        <w:szCs w:val="13"/>
      </w:rPr>
      <w:t>ROSTUGNSVÄGEN 3</w:t>
    </w:r>
  </w:p>
  <w:p w14:paraId="08EF07A9" w14:textId="77777777" w:rsidR="00DB0C7F" w:rsidRPr="00381105" w:rsidRDefault="00DB0C7F" w:rsidP="00DB0C7F">
    <w:pPr>
      <w:autoSpaceDE w:val="0"/>
      <w:autoSpaceDN w:val="0"/>
      <w:adjustRightInd w:val="0"/>
      <w:spacing w:after="0" w:line="168" w:lineRule="exact"/>
      <w:jc w:val="right"/>
      <w:rPr>
        <w:rFonts w:eastAsia="Verdana" w:cs="Forza-LightItalic"/>
        <w:i/>
        <w:iCs/>
        <w:spacing w:val="-6"/>
        <w:sz w:val="13"/>
        <w:szCs w:val="13"/>
      </w:rPr>
    </w:pPr>
    <w:r w:rsidRPr="00381105">
      <w:rPr>
        <w:rFonts w:eastAsia="Verdana" w:cs="Forza-LightItalic"/>
        <w:i/>
        <w:iCs/>
        <w:spacing w:val="-6"/>
        <w:sz w:val="13"/>
        <w:szCs w:val="13"/>
      </w:rPr>
      <w:t xml:space="preserve">SE-776 70 VIKMANSHYTTAN </w:t>
    </w:r>
    <w:r w:rsidRPr="00381105">
      <w:rPr>
        <w:rFonts w:eastAsia="Verdana" w:cs="Times New Roman"/>
        <w:iCs/>
        <w:spacing w:val="-6"/>
        <w:sz w:val="13"/>
        <w:szCs w:val="13"/>
      </w:rPr>
      <w:t>/</w:t>
    </w:r>
    <w:r w:rsidRPr="00381105">
      <w:rPr>
        <w:rFonts w:eastAsia="Verdana" w:cs="Arial"/>
        <w:i/>
        <w:iCs/>
        <w:spacing w:val="-6"/>
        <w:sz w:val="13"/>
        <w:szCs w:val="13"/>
      </w:rPr>
      <w:t xml:space="preserve"> </w:t>
    </w:r>
    <w:r w:rsidRPr="00381105">
      <w:rPr>
        <w:rFonts w:eastAsia="Verdana" w:cs="Forza-LightItalic"/>
        <w:i/>
        <w:iCs/>
        <w:spacing w:val="-6"/>
        <w:sz w:val="13"/>
        <w:szCs w:val="13"/>
      </w:rPr>
      <w:t>SWEDEN</w:t>
    </w:r>
  </w:p>
  <w:p w14:paraId="5505A1E7" w14:textId="77777777" w:rsidR="00DB0C7F" w:rsidRPr="00381105" w:rsidRDefault="00DB0C7F" w:rsidP="00DB0C7F">
    <w:pPr>
      <w:autoSpaceDE w:val="0"/>
      <w:autoSpaceDN w:val="0"/>
      <w:adjustRightInd w:val="0"/>
      <w:spacing w:after="0" w:line="168" w:lineRule="exact"/>
      <w:jc w:val="right"/>
      <w:rPr>
        <w:rFonts w:eastAsia="Verdana" w:cs="Forza-LightItalic"/>
        <w:i/>
        <w:iCs/>
        <w:spacing w:val="-6"/>
        <w:sz w:val="13"/>
        <w:szCs w:val="13"/>
      </w:rPr>
    </w:pPr>
    <w:r w:rsidRPr="00381105">
      <w:rPr>
        <w:rFonts w:eastAsia="Verdana" w:cs="Forza-LightItalic"/>
        <w:i/>
        <w:iCs/>
        <w:spacing w:val="-6"/>
        <w:sz w:val="13"/>
        <w:szCs w:val="13"/>
      </w:rPr>
      <w:t xml:space="preserve">+46 225 351 80 </w:t>
    </w:r>
    <w:r w:rsidRPr="00381105">
      <w:rPr>
        <w:rFonts w:eastAsia="Verdana" w:cs="Times New Roman"/>
        <w:iCs/>
        <w:spacing w:val="-6"/>
        <w:sz w:val="13"/>
        <w:szCs w:val="13"/>
      </w:rPr>
      <w:t>/</w:t>
    </w:r>
    <w:r w:rsidRPr="00381105">
      <w:rPr>
        <w:rFonts w:eastAsia="Verdana" w:cs="Times New Roman"/>
        <w:i/>
        <w:iCs/>
        <w:spacing w:val="-6"/>
        <w:sz w:val="13"/>
        <w:szCs w:val="13"/>
      </w:rPr>
      <w:t xml:space="preserve"> </w:t>
    </w:r>
    <w:r w:rsidRPr="00381105">
      <w:rPr>
        <w:rFonts w:eastAsia="Verdana" w:cs="Forza-LightItalic"/>
        <w:i/>
        <w:iCs/>
        <w:spacing w:val="-6"/>
        <w:sz w:val="13"/>
        <w:szCs w:val="13"/>
      </w:rPr>
      <w:t>INFO@CTEK.COM</w:t>
    </w:r>
  </w:p>
  <w:p w14:paraId="54210E02" w14:textId="77777777" w:rsidR="00DB0C7F" w:rsidRPr="00381105" w:rsidRDefault="00DB0C7F" w:rsidP="00DB0C7F">
    <w:pPr>
      <w:autoSpaceDE w:val="0"/>
      <w:autoSpaceDN w:val="0"/>
      <w:adjustRightInd w:val="0"/>
      <w:spacing w:after="0" w:line="168" w:lineRule="exact"/>
      <w:jc w:val="right"/>
      <w:rPr>
        <w:rFonts w:eastAsia="Verdana" w:cs="Forza-LightItalic"/>
        <w:i/>
        <w:iCs/>
        <w:color w:val="ED8B00"/>
        <w:spacing w:val="-6"/>
        <w:sz w:val="13"/>
        <w:szCs w:val="13"/>
      </w:rPr>
    </w:pPr>
    <w:r w:rsidRPr="00381105">
      <w:rPr>
        <w:rFonts w:eastAsia="Verdana" w:cs="Forza-LightItalic"/>
        <w:i/>
        <w:iCs/>
        <w:color w:val="ED8B00"/>
        <w:spacing w:val="-6"/>
        <w:sz w:val="13"/>
        <w:szCs w:val="13"/>
      </w:rPr>
      <w:t>WWW.CTEK.COM</w:t>
    </w:r>
  </w:p>
  <w:p w14:paraId="5C266B7C" w14:textId="77777777" w:rsidR="00F43A8A" w:rsidRDefault="00F43A8A" w:rsidP="00DB0C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F958E" w14:textId="77777777" w:rsidR="008D4FD3" w:rsidRDefault="008D4FD3" w:rsidP="00381105">
      <w:pPr>
        <w:spacing w:after="0"/>
      </w:pPr>
      <w:r>
        <w:separator/>
      </w:r>
    </w:p>
  </w:footnote>
  <w:footnote w:type="continuationSeparator" w:id="0">
    <w:p w14:paraId="2A6E4041" w14:textId="77777777" w:rsidR="008D4FD3" w:rsidRDefault="008D4FD3" w:rsidP="00381105">
      <w:pPr>
        <w:spacing w:after="0"/>
      </w:pPr>
      <w:r>
        <w:continuationSeparator/>
      </w:r>
    </w:p>
  </w:footnote>
  <w:footnote w:type="continuationNotice" w:id="1">
    <w:p w14:paraId="3E8B1CFB" w14:textId="77777777" w:rsidR="008D4FD3" w:rsidRDefault="008D4FD3">
      <w:pPr>
        <w:spacing w:after="0"/>
      </w:pPr>
    </w:p>
  </w:footnote>
  <w:footnote w:id="2">
    <w:p w14:paraId="54D41109" w14:textId="2E503704" w:rsidR="001A5283" w:rsidRPr="009232B9" w:rsidRDefault="001A5283">
      <w:pPr>
        <w:pStyle w:val="FootnoteText"/>
        <w:rPr>
          <w:sz w:val="12"/>
          <w:szCs w:val="12"/>
        </w:rPr>
      </w:pPr>
      <w:r w:rsidRPr="009232B9">
        <w:rPr>
          <w:rStyle w:val="FootnoteReference"/>
          <w:sz w:val="12"/>
          <w:szCs w:val="12"/>
        </w:rPr>
        <w:footnoteRef/>
      </w:r>
      <w:r w:rsidRPr="009232B9">
        <w:rPr>
          <w:sz w:val="12"/>
          <w:szCs w:val="12"/>
        </w:rPr>
        <w:t xml:space="preserve"> Övriga förmåner avser bilförmån samt sjukvårdsförsäkring</w:t>
      </w:r>
    </w:p>
  </w:footnote>
  <w:footnote w:id="3">
    <w:p w14:paraId="68D16DEE" w14:textId="02FD1878" w:rsidR="001A5283" w:rsidRPr="009232B9" w:rsidRDefault="001A5283">
      <w:pPr>
        <w:pStyle w:val="FootnoteText"/>
        <w:rPr>
          <w:sz w:val="12"/>
          <w:szCs w:val="12"/>
        </w:rPr>
      </w:pPr>
      <w:r w:rsidRPr="009232B9">
        <w:rPr>
          <w:rStyle w:val="FootnoteReference"/>
          <w:sz w:val="12"/>
          <w:szCs w:val="12"/>
        </w:rPr>
        <w:footnoteRef/>
      </w:r>
      <w:r w:rsidRPr="009232B9">
        <w:rPr>
          <w:sz w:val="12"/>
          <w:szCs w:val="12"/>
        </w:rPr>
        <w:t xml:space="preserve"> Fast ersättning avser grundlön och pensionskostnader</w:t>
      </w:r>
    </w:p>
  </w:footnote>
  <w:footnote w:id="4">
    <w:p w14:paraId="42B44D54" w14:textId="4708EEDF" w:rsidR="008C1715" w:rsidRPr="008C1715" w:rsidRDefault="008C1715">
      <w:pPr>
        <w:pStyle w:val="FootnoteText"/>
        <w:rPr>
          <w:sz w:val="12"/>
          <w:szCs w:val="12"/>
        </w:rPr>
      </w:pPr>
      <w:r w:rsidRPr="008C1715">
        <w:rPr>
          <w:rStyle w:val="FootnoteReference"/>
          <w:sz w:val="12"/>
          <w:szCs w:val="12"/>
        </w:rPr>
        <w:footnoteRef/>
      </w:r>
      <w:r w:rsidRPr="008C1715">
        <w:rPr>
          <w:sz w:val="12"/>
          <w:szCs w:val="12"/>
        </w:rPr>
        <w:t xml:space="preserve"> </w:t>
      </w:r>
      <w:r>
        <w:rPr>
          <w:sz w:val="12"/>
          <w:szCs w:val="12"/>
        </w:rPr>
        <w:t>Henrik Fagrenius anställdes 1 september 2023</w:t>
      </w:r>
    </w:p>
  </w:footnote>
  <w:footnote w:id="5">
    <w:p w14:paraId="1C70761D" w14:textId="462F850B" w:rsidR="0040519B" w:rsidRDefault="0040519B" w:rsidP="00140876">
      <w:pPr>
        <w:pStyle w:val="FootnoteText"/>
        <w:rPr>
          <w:sz w:val="12"/>
          <w:szCs w:val="12"/>
        </w:rPr>
      </w:pPr>
      <w:r w:rsidRPr="009232B9">
        <w:rPr>
          <w:rStyle w:val="FootnoteReference"/>
          <w:sz w:val="12"/>
          <w:szCs w:val="12"/>
        </w:rPr>
        <w:footnoteRef/>
      </w:r>
      <w:r w:rsidR="00140876" w:rsidRPr="00140876">
        <w:rPr>
          <w:rStyle w:val="FootnoteReference"/>
          <w:sz w:val="12"/>
          <w:szCs w:val="12"/>
        </w:rPr>
        <w:t xml:space="preserve"> </w:t>
      </w:r>
      <w:r w:rsidR="00140876">
        <w:rPr>
          <w:sz w:val="12"/>
          <w:szCs w:val="12"/>
        </w:rPr>
        <w:t>Genomsnittlig ersättning</w:t>
      </w:r>
      <w:r w:rsidRPr="00140876">
        <w:rPr>
          <w:sz w:val="8"/>
          <w:szCs w:val="8"/>
        </w:rPr>
        <w:t xml:space="preserve"> </w:t>
      </w:r>
      <w:r>
        <w:rPr>
          <w:sz w:val="12"/>
          <w:szCs w:val="12"/>
        </w:rPr>
        <w:t>per heltidsanställd inom CTEK koncernen. VD och ledande befattningshavare är exkluderat</w:t>
      </w:r>
    </w:p>
    <w:p w14:paraId="290788D1" w14:textId="6963A2CD" w:rsidR="008C1715" w:rsidRDefault="008C1715" w:rsidP="00140876">
      <w:pPr>
        <w:pStyle w:val="FootnoteText"/>
        <w:rPr>
          <w:sz w:val="12"/>
          <w:szCs w:val="12"/>
        </w:rPr>
      </w:pPr>
    </w:p>
    <w:p w14:paraId="2100FCCC" w14:textId="77777777" w:rsidR="0040519B" w:rsidRPr="00627E94" w:rsidRDefault="0040519B">
      <w:pPr>
        <w:pStyle w:val="FootnoteText"/>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ABC3A" w14:textId="77777777" w:rsidR="00381105" w:rsidRPr="00381105" w:rsidRDefault="00381105" w:rsidP="00381105">
    <w:pPr>
      <w:tabs>
        <w:tab w:val="center" w:pos="4536"/>
        <w:tab w:val="right" w:pos="9072"/>
      </w:tabs>
      <w:spacing w:after="0"/>
      <w:rPr>
        <w:rFonts w:eastAsia="Verdana" w:cs="Times New Roman"/>
      </w:rPr>
    </w:pPr>
    <w:bookmarkStart w:id="2" w:name="_Hlk56775502"/>
    <w:r w:rsidRPr="00381105">
      <w:rPr>
        <w:rFonts w:eastAsia="Verdana" w:cs="Times New Roman"/>
        <w:noProof/>
      </w:rPr>
      <w:drawing>
        <wp:anchor distT="0" distB="0" distL="114300" distR="114300" simplePos="0" relativeHeight="251678720" behindDoc="0" locked="0" layoutInCell="1" allowOverlap="1" wp14:anchorId="7BC3D329" wp14:editId="2288C0C9">
          <wp:simplePos x="0" y="0"/>
          <wp:positionH relativeFrom="margin">
            <wp:align>left</wp:align>
          </wp:positionH>
          <wp:positionV relativeFrom="paragraph">
            <wp:posOffset>447675</wp:posOffset>
          </wp:positionV>
          <wp:extent cx="1606550" cy="326153"/>
          <wp:effectExtent l="0" t="0" r="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TEK, Logo.png"/>
                  <pic:cNvPicPr/>
                </pic:nvPicPr>
                <pic:blipFill>
                  <a:blip r:embed="rId1">
                    <a:extLst>
                      <a:ext uri="{28A0092B-C50C-407E-A947-70E740481C1C}">
                        <a14:useLocalDpi xmlns:a14="http://schemas.microsoft.com/office/drawing/2010/main" val="0"/>
                      </a:ext>
                    </a:extLst>
                  </a:blip>
                  <a:stretch>
                    <a:fillRect/>
                  </a:stretch>
                </pic:blipFill>
                <pic:spPr>
                  <a:xfrm>
                    <a:off x="0" y="0"/>
                    <a:ext cx="1606550" cy="326153"/>
                  </a:xfrm>
                  <a:prstGeom prst="rect">
                    <a:avLst/>
                  </a:prstGeom>
                </pic:spPr>
              </pic:pic>
            </a:graphicData>
          </a:graphic>
          <wp14:sizeRelH relativeFrom="margin">
            <wp14:pctWidth>0</wp14:pctWidth>
          </wp14:sizeRelH>
          <wp14:sizeRelV relativeFrom="margin">
            <wp14:pctHeight>0</wp14:pctHeight>
          </wp14:sizeRelV>
        </wp:anchor>
      </w:drawing>
    </w:r>
    <w:r w:rsidRPr="00381105">
      <w:rPr>
        <w:rFonts w:eastAsia="Verdana" w:cs="Times New Roman"/>
        <w:noProof/>
        <w:lang w:val="en-US"/>
      </w:rPr>
      <w:drawing>
        <wp:anchor distT="0" distB="0" distL="114300" distR="114300" simplePos="0" relativeHeight="251657216" behindDoc="0" locked="0" layoutInCell="1" allowOverlap="1" wp14:anchorId="7358A047" wp14:editId="2A09CC04">
          <wp:simplePos x="0" y="0"/>
          <wp:positionH relativeFrom="column">
            <wp:posOffset>364743</wp:posOffset>
          </wp:positionH>
          <wp:positionV relativeFrom="paragraph">
            <wp:posOffset>-534010</wp:posOffset>
          </wp:positionV>
          <wp:extent cx="898282" cy="718807"/>
          <wp:effectExtent l="0" t="0" r="0" b="5715"/>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8282" cy="718807"/>
                  </a:xfrm>
                  <a:prstGeom prst="rect">
                    <a:avLst/>
                  </a:prstGeom>
                </pic:spPr>
              </pic:pic>
            </a:graphicData>
          </a:graphic>
        </wp:anchor>
      </w:drawing>
    </w:r>
  </w:p>
  <w:bookmarkEnd w:id="2"/>
  <w:p w14:paraId="3A3DF322" w14:textId="58E500DA" w:rsidR="00381105" w:rsidRDefault="004E39DA" w:rsidP="00DB0C7F">
    <w:pPr>
      <w:pStyle w:val="Header"/>
      <w:jc w:val="right"/>
      <w:rPr>
        <w:rFonts w:ascii="Verdana" w:hAnsi="Verdana"/>
      </w:rPr>
    </w:pPr>
    <w:r>
      <w:tab/>
    </w:r>
  </w:p>
  <w:p w14:paraId="645E851B" w14:textId="77777777" w:rsidR="00C92C0A" w:rsidRDefault="00C92C0A" w:rsidP="00C92C0A">
    <w:pPr>
      <w:pStyle w:val="Header"/>
      <w:jc w:val="center"/>
      <w:rPr>
        <w:rFonts w:ascii="Verdana" w:hAnsi="Verdana"/>
      </w:rPr>
    </w:pPr>
  </w:p>
  <w:p w14:paraId="5AC32CC5" w14:textId="0C995EDB" w:rsidR="007935F9" w:rsidRDefault="007935F9" w:rsidP="00DB0C7F">
    <w:pPr>
      <w:pStyle w:val="Header"/>
      <w:jc w:val="right"/>
      <w:rPr>
        <w:rFonts w:ascii="Verdana" w:hAnsi="Verdana"/>
      </w:rPr>
    </w:pPr>
  </w:p>
  <w:p w14:paraId="72D8B080" w14:textId="7DF8207F" w:rsidR="007935F9" w:rsidRDefault="007935F9" w:rsidP="00DB0C7F">
    <w:pPr>
      <w:pStyle w:val="Header"/>
      <w:jc w:val="right"/>
      <w:rPr>
        <w:rFonts w:ascii="Verdana" w:hAnsi="Verdana"/>
      </w:rPr>
    </w:pPr>
  </w:p>
  <w:p w14:paraId="3303AE09" w14:textId="2F385986" w:rsidR="007935F9" w:rsidRDefault="007935F9" w:rsidP="00DB0C7F">
    <w:pPr>
      <w:pStyle w:val="Header"/>
      <w:jc w:val="right"/>
      <w:rPr>
        <w:rFonts w:ascii="Verdana" w:hAnsi="Verdana"/>
      </w:rPr>
    </w:pPr>
  </w:p>
  <w:p w14:paraId="1FCF43BF" w14:textId="77777777" w:rsidR="007935F9" w:rsidRPr="00743269" w:rsidRDefault="007935F9" w:rsidP="00DB0C7F">
    <w:pPr>
      <w:pStyle w:val="Header"/>
      <w:jc w:val="right"/>
      <w:rPr>
        <w:rFonts w:ascii="Verdana" w:hAnsi="Verdan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7F580" w14:textId="77777777" w:rsidR="00DB0C7F" w:rsidRPr="00381105" w:rsidRDefault="00DB0C7F" w:rsidP="00DB0C7F">
    <w:pPr>
      <w:tabs>
        <w:tab w:val="center" w:pos="4536"/>
        <w:tab w:val="right" w:pos="9072"/>
      </w:tabs>
      <w:spacing w:after="0"/>
      <w:rPr>
        <w:rFonts w:eastAsia="Verdana" w:cs="Times New Roman"/>
      </w:rPr>
    </w:pPr>
    <w:r w:rsidRPr="00381105">
      <w:rPr>
        <w:rFonts w:eastAsia="Verdana" w:cs="Times New Roman"/>
        <w:noProof/>
      </w:rPr>
      <w:drawing>
        <wp:anchor distT="0" distB="0" distL="114300" distR="114300" simplePos="0" relativeHeight="251658243" behindDoc="0" locked="0" layoutInCell="1" allowOverlap="1" wp14:anchorId="3A1210C2" wp14:editId="6219B379">
          <wp:simplePos x="0" y="0"/>
          <wp:positionH relativeFrom="margin">
            <wp:align>left</wp:align>
          </wp:positionH>
          <wp:positionV relativeFrom="paragraph">
            <wp:posOffset>447675</wp:posOffset>
          </wp:positionV>
          <wp:extent cx="1606550" cy="326153"/>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TEK, Logo.png"/>
                  <pic:cNvPicPr/>
                </pic:nvPicPr>
                <pic:blipFill>
                  <a:blip r:embed="rId1">
                    <a:extLst>
                      <a:ext uri="{28A0092B-C50C-407E-A947-70E740481C1C}">
                        <a14:useLocalDpi xmlns:a14="http://schemas.microsoft.com/office/drawing/2010/main" val="0"/>
                      </a:ext>
                    </a:extLst>
                  </a:blip>
                  <a:stretch>
                    <a:fillRect/>
                  </a:stretch>
                </pic:blipFill>
                <pic:spPr>
                  <a:xfrm>
                    <a:off x="0" y="0"/>
                    <a:ext cx="1606550" cy="326153"/>
                  </a:xfrm>
                  <a:prstGeom prst="rect">
                    <a:avLst/>
                  </a:prstGeom>
                </pic:spPr>
              </pic:pic>
            </a:graphicData>
          </a:graphic>
          <wp14:sizeRelH relativeFrom="margin">
            <wp14:pctWidth>0</wp14:pctWidth>
          </wp14:sizeRelH>
          <wp14:sizeRelV relativeFrom="margin">
            <wp14:pctHeight>0</wp14:pctHeight>
          </wp14:sizeRelV>
        </wp:anchor>
      </w:drawing>
    </w:r>
    <w:r w:rsidRPr="00381105">
      <w:rPr>
        <w:rFonts w:eastAsia="Verdana" w:cs="Times New Roman"/>
        <w:noProof/>
        <w:lang w:val="en-US"/>
      </w:rPr>
      <w:drawing>
        <wp:anchor distT="0" distB="0" distL="114300" distR="114300" simplePos="0" relativeHeight="251658242" behindDoc="0" locked="0" layoutInCell="1" allowOverlap="1" wp14:anchorId="0F07105D" wp14:editId="1D0B6660">
          <wp:simplePos x="0" y="0"/>
          <wp:positionH relativeFrom="column">
            <wp:posOffset>364743</wp:posOffset>
          </wp:positionH>
          <wp:positionV relativeFrom="paragraph">
            <wp:posOffset>-534010</wp:posOffset>
          </wp:positionV>
          <wp:extent cx="898282" cy="718807"/>
          <wp:effectExtent l="0" t="0" r="0" b="5715"/>
          <wp:wrapNone/>
          <wp:docPr id="2"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8282" cy="718807"/>
                  </a:xfrm>
                  <a:prstGeom prst="rect">
                    <a:avLst/>
                  </a:prstGeom>
                </pic:spPr>
              </pic:pic>
            </a:graphicData>
          </a:graphic>
        </wp:anchor>
      </w:drawing>
    </w:r>
  </w:p>
  <w:p w14:paraId="0C09E586" w14:textId="77777777" w:rsidR="00DB0C7F" w:rsidRDefault="00DB0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3EB04ED2"/>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1363324"/>
    <w:multiLevelType w:val="hybridMultilevel"/>
    <w:tmpl w:val="3064CF5C"/>
    <w:lvl w:ilvl="0" w:tplc="BB7E67D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2062A19"/>
    <w:multiLevelType w:val="hybridMultilevel"/>
    <w:tmpl w:val="8ECCD2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D86F21"/>
    <w:multiLevelType w:val="hybridMultilevel"/>
    <w:tmpl w:val="DE9C84E0"/>
    <w:lvl w:ilvl="0" w:tplc="6F6C14E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ADC1D02"/>
    <w:multiLevelType w:val="hybridMultilevel"/>
    <w:tmpl w:val="21BCB02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7633748"/>
    <w:multiLevelType w:val="hybridMultilevel"/>
    <w:tmpl w:val="EE722B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45C7DF3"/>
    <w:multiLevelType w:val="hybridMultilevel"/>
    <w:tmpl w:val="6A4EB9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7A74FF6"/>
    <w:multiLevelType w:val="hybridMultilevel"/>
    <w:tmpl w:val="25BCEA9A"/>
    <w:lvl w:ilvl="0" w:tplc="FB84A270">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D9674A3"/>
    <w:multiLevelType w:val="hybridMultilevel"/>
    <w:tmpl w:val="DB168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FE90056"/>
    <w:multiLevelType w:val="hybridMultilevel"/>
    <w:tmpl w:val="353A4D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0622F3D"/>
    <w:multiLevelType w:val="hybridMultilevel"/>
    <w:tmpl w:val="CB82B8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1F76657"/>
    <w:multiLevelType w:val="hybridMultilevel"/>
    <w:tmpl w:val="C428DC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11549EE"/>
    <w:multiLevelType w:val="hybridMultilevel"/>
    <w:tmpl w:val="6A302A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FF05082"/>
    <w:multiLevelType w:val="hybridMultilevel"/>
    <w:tmpl w:val="8B1AF4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1925962"/>
    <w:multiLevelType w:val="hybridMultilevel"/>
    <w:tmpl w:val="75F84484"/>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4204351"/>
    <w:multiLevelType w:val="hybridMultilevel"/>
    <w:tmpl w:val="79B8F0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CD672CB"/>
    <w:multiLevelType w:val="multilevel"/>
    <w:tmpl w:val="30BE2F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D9B6994"/>
    <w:multiLevelType w:val="hybridMultilevel"/>
    <w:tmpl w:val="B70840D4"/>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57232651">
    <w:abstractNumId w:val="0"/>
  </w:num>
  <w:num w:numId="2" w16cid:durableId="1000695423">
    <w:abstractNumId w:val="8"/>
  </w:num>
  <w:num w:numId="3" w16cid:durableId="1258707270">
    <w:abstractNumId w:val="0"/>
  </w:num>
  <w:num w:numId="4" w16cid:durableId="1139692515">
    <w:abstractNumId w:val="10"/>
  </w:num>
  <w:num w:numId="5" w16cid:durableId="189995480">
    <w:abstractNumId w:val="0"/>
  </w:num>
  <w:num w:numId="6" w16cid:durableId="326637956">
    <w:abstractNumId w:val="12"/>
  </w:num>
  <w:num w:numId="7" w16cid:durableId="1633486744">
    <w:abstractNumId w:val="0"/>
  </w:num>
  <w:num w:numId="8" w16cid:durableId="911161673">
    <w:abstractNumId w:val="0"/>
  </w:num>
  <w:num w:numId="9" w16cid:durableId="589236710">
    <w:abstractNumId w:val="0"/>
  </w:num>
  <w:num w:numId="10" w16cid:durableId="469326855">
    <w:abstractNumId w:val="2"/>
  </w:num>
  <w:num w:numId="11" w16cid:durableId="1193227800">
    <w:abstractNumId w:val="6"/>
  </w:num>
  <w:num w:numId="12" w16cid:durableId="1819154040">
    <w:abstractNumId w:val="0"/>
  </w:num>
  <w:num w:numId="13" w16cid:durableId="352611118">
    <w:abstractNumId w:val="0"/>
  </w:num>
  <w:num w:numId="14" w16cid:durableId="675116113">
    <w:abstractNumId w:val="16"/>
  </w:num>
  <w:num w:numId="15" w16cid:durableId="610014899">
    <w:abstractNumId w:val="5"/>
  </w:num>
  <w:num w:numId="16" w16cid:durableId="1954625462">
    <w:abstractNumId w:val="4"/>
  </w:num>
  <w:num w:numId="17" w16cid:durableId="1415080793">
    <w:abstractNumId w:val="13"/>
  </w:num>
  <w:num w:numId="18" w16cid:durableId="1394960301">
    <w:abstractNumId w:val="11"/>
  </w:num>
  <w:num w:numId="19" w16cid:durableId="1867135394">
    <w:abstractNumId w:val="0"/>
  </w:num>
  <w:num w:numId="20" w16cid:durableId="932512184">
    <w:abstractNumId w:val="0"/>
  </w:num>
  <w:num w:numId="21" w16cid:durableId="1881934751">
    <w:abstractNumId w:val="0"/>
  </w:num>
  <w:num w:numId="22" w16cid:durableId="1756628873">
    <w:abstractNumId w:val="9"/>
  </w:num>
  <w:num w:numId="23" w16cid:durableId="1067726370">
    <w:abstractNumId w:val="14"/>
  </w:num>
  <w:num w:numId="24" w16cid:durableId="1233807568">
    <w:abstractNumId w:val="0"/>
  </w:num>
  <w:num w:numId="25" w16cid:durableId="1674800755">
    <w:abstractNumId w:val="0"/>
  </w:num>
  <w:num w:numId="26" w16cid:durableId="2142651503">
    <w:abstractNumId w:val="0"/>
  </w:num>
  <w:num w:numId="27" w16cid:durableId="1153255355">
    <w:abstractNumId w:val="0"/>
  </w:num>
  <w:num w:numId="28" w16cid:durableId="2073187450">
    <w:abstractNumId w:val="0"/>
  </w:num>
  <w:num w:numId="29" w16cid:durableId="1836726503">
    <w:abstractNumId w:val="17"/>
  </w:num>
  <w:num w:numId="30" w16cid:durableId="409733990">
    <w:abstractNumId w:val="15"/>
  </w:num>
  <w:num w:numId="31" w16cid:durableId="591548813">
    <w:abstractNumId w:val="1"/>
  </w:num>
  <w:num w:numId="32" w16cid:durableId="383796266">
    <w:abstractNumId w:val="3"/>
  </w:num>
  <w:num w:numId="33" w16cid:durableId="4608542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05"/>
    <w:rsid w:val="000063E5"/>
    <w:rsid w:val="000227DE"/>
    <w:rsid w:val="00033EBB"/>
    <w:rsid w:val="00034AD7"/>
    <w:rsid w:val="00034B59"/>
    <w:rsid w:val="000364F7"/>
    <w:rsid w:val="000569F7"/>
    <w:rsid w:val="00057535"/>
    <w:rsid w:val="000631E4"/>
    <w:rsid w:val="00066485"/>
    <w:rsid w:val="000725FA"/>
    <w:rsid w:val="00072D1C"/>
    <w:rsid w:val="00076AA7"/>
    <w:rsid w:val="0009053A"/>
    <w:rsid w:val="00093BDB"/>
    <w:rsid w:val="00095594"/>
    <w:rsid w:val="000C29A8"/>
    <w:rsid w:val="000E348E"/>
    <w:rsid w:val="000E48A7"/>
    <w:rsid w:val="000F2BC8"/>
    <w:rsid w:val="00107DA5"/>
    <w:rsid w:val="001113A4"/>
    <w:rsid w:val="00111485"/>
    <w:rsid w:val="0011452F"/>
    <w:rsid w:val="00114AFE"/>
    <w:rsid w:val="00121DAA"/>
    <w:rsid w:val="00124A48"/>
    <w:rsid w:val="001257DC"/>
    <w:rsid w:val="00126398"/>
    <w:rsid w:val="00132BD1"/>
    <w:rsid w:val="00136ADA"/>
    <w:rsid w:val="00140876"/>
    <w:rsid w:val="001423EF"/>
    <w:rsid w:val="00156A51"/>
    <w:rsid w:val="0016243C"/>
    <w:rsid w:val="00163DBA"/>
    <w:rsid w:val="00165075"/>
    <w:rsid w:val="001725EA"/>
    <w:rsid w:val="00172AB6"/>
    <w:rsid w:val="001743BA"/>
    <w:rsid w:val="00175E3F"/>
    <w:rsid w:val="0017774D"/>
    <w:rsid w:val="001815F6"/>
    <w:rsid w:val="001A5283"/>
    <w:rsid w:val="001B018F"/>
    <w:rsid w:val="001B1233"/>
    <w:rsid w:val="001B1CB1"/>
    <w:rsid w:val="001B6D65"/>
    <w:rsid w:val="001C209B"/>
    <w:rsid w:val="001C7EDE"/>
    <w:rsid w:val="001D7D3B"/>
    <w:rsid w:val="001E1AD1"/>
    <w:rsid w:val="001F26C4"/>
    <w:rsid w:val="001F2BE5"/>
    <w:rsid w:val="001F4194"/>
    <w:rsid w:val="001F4569"/>
    <w:rsid w:val="001F6410"/>
    <w:rsid w:val="002006DD"/>
    <w:rsid w:val="0020299A"/>
    <w:rsid w:val="0020521F"/>
    <w:rsid w:val="00213B70"/>
    <w:rsid w:val="00222D02"/>
    <w:rsid w:val="0022469E"/>
    <w:rsid w:val="00230DB3"/>
    <w:rsid w:val="00237EA2"/>
    <w:rsid w:val="00243791"/>
    <w:rsid w:val="00250BC5"/>
    <w:rsid w:val="00251EAB"/>
    <w:rsid w:val="00256B56"/>
    <w:rsid w:val="00261F4A"/>
    <w:rsid w:val="00263F08"/>
    <w:rsid w:val="0027054C"/>
    <w:rsid w:val="00272CD9"/>
    <w:rsid w:val="00276067"/>
    <w:rsid w:val="002778DB"/>
    <w:rsid w:val="002900A2"/>
    <w:rsid w:val="00297AD6"/>
    <w:rsid w:val="002A1C79"/>
    <w:rsid w:val="002A7409"/>
    <w:rsid w:val="002B7AE4"/>
    <w:rsid w:val="002C6928"/>
    <w:rsid w:val="002C74E2"/>
    <w:rsid w:val="002D572F"/>
    <w:rsid w:val="002D5FF5"/>
    <w:rsid w:val="002E10B3"/>
    <w:rsid w:val="002E1C56"/>
    <w:rsid w:val="002E3905"/>
    <w:rsid w:val="002E5E52"/>
    <w:rsid w:val="002E601F"/>
    <w:rsid w:val="002F0B61"/>
    <w:rsid w:val="002F380E"/>
    <w:rsid w:val="003025B2"/>
    <w:rsid w:val="00302D42"/>
    <w:rsid w:val="00303509"/>
    <w:rsid w:val="00303A80"/>
    <w:rsid w:val="00311216"/>
    <w:rsid w:val="00315F36"/>
    <w:rsid w:val="00320056"/>
    <w:rsid w:val="003209C9"/>
    <w:rsid w:val="00322D47"/>
    <w:rsid w:val="0032502F"/>
    <w:rsid w:val="003267FF"/>
    <w:rsid w:val="0036039E"/>
    <w:rsid w:val="00363217"/>
    <w:rsid w:val="00371443"/>
    <w:rsid w:val="00373393"/>
    <w:rsid w:val="00373C1E"/>
    <w:rsid w:val="00375334"/>
    <w:rsid w:val="00381105"/>
    <w:rsid w:val="00381A40"/>
    <w:rsid w:val="003864B2"/>
    <w:rsid w:val="00387644"/>
    <w:rsid w:val="00387DBE"/>
    <w:rsid w:val="003A03B9"/>
    <w:rsid w:val="003A1BBD"/>
    <w:rsid w:val="003B2875"/>
    <w:rsid w:val="003D1A54"/>
    <w:rsid w:val="003D5C83"/>
    <w:rsid w:val="003D6335"/>
    <w:rsid w:val="003D7D58"/>
    <w:rsid w:val="003E262B"/>
    <w:rsid w:val="003E71D8"/>
    <w:rsid w:val="003F4F6B"/>
    <w:rsid w:val="0040519B"/>
    <w:rsid w:val="00405468"/>
    <w:rsid w:val="0041248A"/>
    <w:rsid w:val="00417207"/>
    <w:rsid w:val="00420DA9"/>
    <w:rsid w:val="004241F2"/>
    <w:rsid w:val="0042773E"/>
    <w:rsid w:val="004313F9"/>
    <w:rsid w:val="00442A51"/>
    <w:rsid w:val="00445D2D"/>
    <w:rsid w:val="00453875"/>
    <w:rsid w:val="004552BA"/>
    <w:rsid w:val="00456940"/>
    <w:rsid w:val="00461421"/>
    <w:rsid w:val="00462776"/>
    <w:rsid w:val="00463BE3"/>
    <w:rsid w:val="004707CA"/>
    <w:rsid w:val="00496828"/>
    <w:rsid w:val="004A340F"/>
    <w:rsid w:val="004B65BA"/>
    <w:rsid w:val="004C0235"/>
    <w:rsid w:val="004C2EC5"/>
    <w:rsid w:val="004C6C95"/>
    <w:rsid w:val="004D100E"/>
    <w:rsid w:val="004D62FB"/>
    <w:rsid w:val="004D7E02"/>
    <w:rsid w:val="004E39DA"/>
    <w:rsid w:val="004E5F0A"/>
    <w:rsid w:val="004F5B41"/>
    <w:rsid w:val="004F693F"/>
    <w:rsid w:val="00510A74"/>
    <w:rsid w:val="005143D9"/>
    <w:rsid w:val="00533AFA"/>
    <w:rsid w:val="00541C90"/>
    <w:rsid w:val="00544CE7"/>
    <w:rsid w:val="0054518F"/>
    <w:rsid w:val="00545ACF"/>
    <w:rsid w:val="005545EB"/>
    <w:rsid w:val="005602F7"/>
    <w:rsid w:val="00560EA4"/>
    <w:rsid w:val="00562ECF"/>
    <w:rsid w:val="00564AE2"/>
    <w:rsid w:val="00564D1F"/>
    <w:rsid w:val="00576BEC"/>
    <w:rsid w:val="00576D00"/>
    <w:rsid w:val="0058190E"/>
    <w:rsid w:val="00583675"/>
    <w:rsid w:val="00591E56"/>
    <w:rsid w:val="00594C9A"/>
    <w:rsid w:val="005A07C8"/>
    <w:rsid w:val="005A1F3A"/>
    <w:rsid w:val="005A49BB"/>
    <w:rsid w:val="005C283C"/>
    <w:rsid w:val="005C7D6E"/>
    <w:rsid w:val="005D3B49"/>
    <w:rsid w:val="005D4B19"/>
    <w:rsid w:val="005D68C2"/>
    <w:rsid w:val="005E0CDA"/>
    <w:rsid w:val="005F73BD"/>
    <w:rsid w:val="00620396"/>
    <w:rsid w:val="00624191"/>
    <w:rsid w:val="00627BCA"/>
    <w:rsid w:val="00627E94"/>
    <w:rsid w:val="006425D7"/>
    <w:rsid w:val="0065111D"/>
    <w:rsid w:val="00652A2A"/>
    <w:rsid w:val="00671133"/>
    <w:rsid w:val="006846C0"/>
    <w:rsid w:val="00687FA9"/>
    <w:rsid w:val="006A29D6"/>
    <w:rsid w:val="006A6CCE"/>
    <w:rsid w:val="006B0CBE"/>
    <w:rsid w:val="006B5361"/>
    <w:rsid w:val="006B7927"/>
    <w:rsid w:val="006C53BF"/>
    <w:rsid w:val="006C601B"/>
    <w:rsid w:val="006F1290"/>
    <w:rsid w:val="00701D87"/>
    <w:rsid w:val="00703658"/>
    <w:rsid w:val="00704732"/>
    <w:rsid w:val="00705242"/>
    <w:rsid w:val="00707988"/>
    <w:rsid w:val="0071030D"/>
    <w:rsid w:val="00711F58"/>
    <w:rsid w:val="007127EF"/>
    <w:rsid w:val="00713E5B"/>
    <w:rsid w:val="00722AA6"/>
    <w:rsid w:val="00726248"/>
    <w:rsid w:val="00730B71"/>
    <w:rsid w:val="00732E49"/>
    <w:rsid w:val="00743269"/>
    <w:rsid w:val="00743554"/>
    <w:rsid w:val="00757FCB"/>
    <w:rsid w:val="00766277"/>
    <w:rsid w:val="0077279A"/>
    <w:rsid w:val="00777B71"/>
    <w:rsid w:val="00783380"/>
    <w:rsid w:val="0079356D"/>
    <w:rsid w:val="007935F9"/>
    <w:rsid w:val="007B791E"/>
    <w:rsid w:val="007C0D94"/>
    <w:rsid w:val="007D2CEE"/>
    <w:rsid w:val="007E4444"/>
    <w:rsid w:val="007E5046"/>
    <w:rsid w:val="007F0BB2"/>
    <w:rsid w:val="007F1916"/>
    <w:rsid w:val="007F4AE3"/>
    <w:rsid w:val="007F5954"/>
    <w:rsid w:val="0080013B"/>
    <w:rsid w:val="00807C1A"/>
    <w:rsid w:val="00812F37"/>
    <w:rsid w:val="008229CB"/>
    <w:rsid w:val="0082672A"/>
    <w:rsid w:val="0086584C"/>
    <w:rsid w:val="008704F7"/>
    <w:rsid w:val="00873E89"/>
    <w:rsid w:val="00882B6C"/>
    <w:rsid w:val="0089356D"/>
    <w:rsid w:val="00894B02"/>
    <w:rsid w:val="008A13B1"/>
    <w:rsid w:val="008A23F5"/>
    <w:rsid w:val="008A4129"/>
    <w:rsid w:val="008A7FFD"/>
    <w:rsid w:val="008B1F14"/>
    <w:rsid w:val="008C1715"/>
    <w:rsid w:val="008C4544"/>
    <w:rsid w:val="008C60C5"/>
    <w:rsid w:val="008D18F2"/>
    <w:rsid w:val="008D4FD3"/>
    <w:rsid w:val="008D547E"/>
    <w:rsid w:val="008D7C6C"/>
    <w:rsid w:val="008E6A7E"/>
    <w:rsid w:val="0090623C"/>
    <w:rsid w:val="009062D2"/>
    <w:rsid w:val="0091072B"/>
    <w:rsid w:val="00912E72"/>
    <w:rsid w:val="00913C58"/>
    <w:rsid w:val="00915B02"/>
    <w:rsid w:val="009232B9"/>
    <w:rsid w:val="00924239"/>
    <w:rsid w:val="00933872"/>
    <w:rsid w:val="009621FA"/>
    <w:rsid w:val="00965F7D"/>
    <w:rsid w:val="009907D6"/>
    <w:rsid w:val="00994E2E"/>
    <w:rsid w:val="00997280"/>
    <w:rsid w:val="009C5875"/>
    <w:rsid w:val="009D1DA3"/>
    <w:rsid w:val="009D7901"/>
    <w:rsid w:val="009F62D6"/>
    <w:rsid w:val="00A04ED8"/>
    <w:rsid w:val="00A2227E"/>
    <w:rsid w:val="00A252C8"/>
    <w:rsid w:val="00A34F29"/>
    <w:rsid w:val="00A3651C"/>
    <w:rsid w:val="00A37BD6"/>
    <w:rsid w:val="00A62A29"/>
    <w:rsid w:val="00A63C3B"/>
    <w:rsid w:val="00A67E9C"/>
    <w:rsid w:val="00A708B4"/>
    <w:rsid w:val="00A717EF"/>
    <w:rsid w:val="00A73499"/>
    <w:rsid w:val="00A80C42"/>
    <w:rsid w:val="00A96C51"/>
    <w:rsid w:val="00AA3BFC"/>
    <w:rsid w:val="00AB3E20"/>
    <w:rsid w:val="00AB5CA3"/>
    <w:rsid w:val="00AF6686"/>
    <w:rsid w:val="00B05336"/>
    <w:rsid w:val="00B1598D"/>
    <w:rsid w:val="00B238C3"/>
    <w:rsid w:val="00B3011B"/>
    <w:rsid w:val="00B37843"/>
    <w:rsid w:val="00B402F6"/>
    <w:rsid w:val="00B43D15"/>
    <w:rsid w:val="00B61E05"/>
    <w:rsid w:val="00B75B8B"/>
    <w:rsid w:val="00B76BA7"/>
    <w:rsid w:val="00B85AC6"/>
    <w:rsid w:val="00B90D09"/>
    <w:rsid w:val="00BA5C01"/>
    <w:rsid w:val="00BA77D5"/>
    <w:rsid w:val="00BB0B4B"/>
    <w:rsid w:val="00BB4053"/>
    <w:rsid w:val="00BB7939"/>
    <w:rsid w:val="00BC11BF"/>
    <w:rsid w:val="00BC1934"/>
    <w:rsid w:val="00BD3DEC"/>
    <w:rsid w:val="00BD4CEA"/>
    <w:rsid w:val="00BD5EAD"/>
    <w:rsid w:val="00BF02ED"/>
    <w:rsid w:val="00BF15E4"/>
    <w:rsid w:val="00C053F8"/>
    <w:rsid w:val="00C14A17"/>
    <w:rsid w:val="00C30CCC"/>
    <w:rsid w:val="00C50492"/>
    <w:rsid w:val="00C5238D"/>
    <w:rsid w:val="00C539F5"/>
    <w:rsid w:val="00C540C3"/>
    <w:rsid w:val="00C56539"/>
    <w:rsid w:val="00C61EC8"/>
    <w:rsid w:val="00C6348F"/>
    <w:rsid w:val="00C759D4"/>
    <w:rsid w:val="00C76174"/>
    <w:rsid w:val="00C76234"/>
    <w:rsid w:val="00C8368F"/>
    <w:rsid w:val="00C8637B"/>
    <w:rsid w:val="00C915ED"/>
    <w:rsid w:val="00C92C0A"/>
    <w:rsid w:val="00CA4C59"/>
    <w:rsid w:val="00CA5B30"/>
    <w:rsid w:val="00CB20B3"/>
    <w:rsid w:val="00CB5607"/>
    <w:rsid w:val="00CC5C76"/>
    <w:rsid w:val="00CD063B"/>
    <w:rsid w:val="00CD4A36"/>
    <w:rsid w:val="00CE015B"/>
    <w:rsid w:val="00CF0E85"/>
    <w:rsid w:val="00CF2026"/>
    <w:rsid w:val="00CF64F5"/>
    <w:rsid w:val="00D078D2"/>
    <w:rsid w:val="00D108BE"/>
    <w:rsid w:val="00D112FC"/>
    <w:rsid w:val="00D17ECA"/>
    <w:rsid w:val="00D20108"/>
    <w:rsid w:val="00D21AB6"/>
    <w:rsid w:val="00D510EE"/>
    <w:rsid w:val="00D51DFE"/>
    <w:rsid w:val="00D51FAE"/>
    <w:rsid w:val="00D614A5"/>
    <w:rsid w:val="00D62626"/>
    <w:rsid w:val="00D73366"/>
    <w:rsid w:val="00D83E64"/>
    <w:rsid w:val="00D85496"/>
    <w:rsid w:val="00D95343"/>
    <w:rsid w:val="00D957C7"/>
    <w:rsid w:val="00DA02A6"/>
    <w:rsid w:val="00DA1B0C"/>
    <w:rsid w:val="00DA1F9F"/>
    <w:rsid w:val="00DA3767"/>
    <w:rsid w:val="00DB0C7F"/>
    <w:rsid w:val="00DC3472"/>
    <w:rsid w:val="00DD42C7"/>
    <w:rsid w:val="00DE344E"/>
    <w:rsid w:val="00DF0CD4"/>
    <w:rsid w:val="00E0573F"/>
    <w:rsid w:val="00E1131C"/>
    <w:rsid w:val="00E144A4"/>
    <w:rsid w:val="00E1691F"/>
    <w:rsid w:val="00E34236"/>
    <w:rsid w:val="00E434DC"/>
    <w:rsid w:val="00E4588F"/>
    <w:rsid w:val="00E50A17"/>
    <w:rsid w:val="00E55849"/>
    <w:rsid w:val="00E56B2E"/>
    <w:rsid w:val="00E6221F"/>
    <w:rsid w:val="00E72848"/>
    <w:rsid w:val="00E85771"/>
    <w:rsid w:val="00E86AF5"/>
    <w:rsid w:val="00E946F4"/>
    <w:rsid w:val="00EA16AD"/>
    <w:rsid w:val="00EA44DC"/>
    <w:rsid w:val="00EB30E7"/>
    <w:rsid w:val="00EC6B53"/>
    <w:rsid w:val="00ED12A9"/>
    <w:rsid w:val="00ED41E9"/>
    <w:rsid w:val="00EE65DD"/>
    <w:rsid w:val="00EE7785"/>
    <w:rsid w:val="00EF547F"/>
    <w:rsid w:val="00F01C01"/>
    <w:rsid w:val="00F06D7F"/>
    <w:rsid w:val="00F12C14"/>
    <w:rsid w:val="00F20670"/>
    <w:rsid w:val="00F23C8A"/>
    <w:rsid w:val="00F23E7E"/>
    <w:rsid w:val="00F25F10"/>
    <w:rsid w:val="00F323C0"/>
    <w:rsid w:val="00F40E52"/>
    <w:rsid w:val="00F43A8A"/>
    <w:rsid w:val="00F467F4"/>
    <w:rsid w:val="00F4736D"/>
    <w:rsid w:val="00F52A77"/>
    <w:rsid w:val="00F55634"/>
    <w:rsid w:val="00F60D48"/>
    <w:rsid w:val="00F64816"/>
    <w:rsid w:val="00F65108"/>
    <w:rsid w:val="00F74EBC"/>
    <w:rsid w:val="00F81D3C"/>
    <w:rsid w:val="00F81E84"/>
    <w:rsid w:val="00F84054"/>
    <w:rsid w:val="00FA2BF0"/>
    <w:rsid w:val="00FA58B5"/>
    <w:rsid w:val="00FA5A5A"/>
    <w:rsid w:val="00FB1DCB"/>
    <w:rsid w:val="00FB30E8"/>
    <w:rsid w:val="00FC6B44"/>
    <w:rsid w:val="00FD6636"/>
    <w:rsid w:val="00FE0506"/>
    <w:rsid w:val="00FE57D5"/>
    <w:rsid w:val="00FF0E5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5E255"/>
  <w15:chartTrackingRefBased/>
  <w15:docId w15:val="{4538EC11-B8F5-4704-B98B-E791E26D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D6E"/>
    <w:pPr>
      <w:spacing w:line="240" w:lineRule="auto"/>
    </w:pPr>
    <w:rPr>
      <w:rFonts w:ascii="Verdana" w:hAnsi="Verdana"/>
      <w:sz w:val="20"/>
    </w:rPr>
  </w:style>
  <w:style w:type="paragraph" w:styleId="Heading1">
    <w:name w:val="heading 1"/>
    <w:next w:val="Normal"/>
    <w:link w:val="Heading1Char"/>
    <w:qFormat/>
    <w:rsid w:val="00912E72"/>
    <w:pPr>
      <w:keepNext/>
      <w:numPr>
        <w:numId w:val="1"/>
      </w:numPr>
      <w:spacing w:before="360" w:after="120" w:line="240" w:lineRule="auto"/>
      <w:outlineLvl w:val="0"/>
    </w:pPr>
    <w:rPr>
      <w:rFonts w:eastAsia="Times New Roman" w:cs="Times New Roman"/>
      <w:b/>
      <w:sz w:val="32"/>
      <w:szCs w:val="20"/>
      <w:lang w:val="en-GB"/>
    </w:rPr>
  </w:style>
  <w:style w:type="paragraph" w:styleId="Heading2">
    <w:name w:val="heading 2"/>
    <w:next w:val="Normal"/>
    <w:link w:val="Heading2Char"/>
    <w:qFormat/>
    <w:rsid w:val="00912E72"/>
    <w:pPr>
      <w:keepNext/>
      <w:numPr>
        <w:ilvl w:val="1"/>
        <w:numId w:val="1"/>
      </w:numPr>
      <w:spacing w:before="360" w:after="120" w:line="240" w:lineRule="auto"/>
      <w:outlineLvl w:val="1"/>
    </w:pPr>
    <w:rPr>
      <w:rFonts w:eastAsia="Times New Roman" w:cstheme="minorHAnsi"/>
      <w:b/>
      <w:sz w:val="24"/>
      <w:szCs w:val="20"/>
      <w:lang w:val="en-GB"/>
    </w:rPr>
  </w:style>
  <w:style w:type="paragraph" w:styleId="Heading3">
    <w:name w:val="heading 3"/>
    <w:next w:val="Normal"/>
    <w:link w:val="Heading3Char"/>
    <w:qFormat/>
    <w:rsid w:val="00912E72"/>
    <w:pPr>
      <w:keepNext/>
      <w:numPr>
        <w:ilvl w:val="2"/>
        <w:numId w:val="1"/>
      </w:numPr>
      <w:spacing w:before="360" w:after="120" w:line="240" w:lineRule="auto"/>
      <w:outlineLvl w:val="2"/>
    </w:pPr>
    <w:rPr>
      <w:rFonts w:eastAsia="Times New Roman" w:cstheme="minorHAnsi"/>
      <w:b/>
      <w:sz w:val="24"/>
      <w:szCs w:val="20"/>
      <w:lang w:val="en-GB"/>
    </w:rPr>
  </w:style>
  <w:style w:type="paragraph" w:styleId="Heading4">
    <w:name w:val="heading 4"/>
    <w:next w:val="NormalIndent"/>
    <w:link w:val="Heading4Char"/>
    <w:qFormat/>
    <w:rsid w:val="00912E72"/>
    <w:pPr>
      <w:numPr>
        <w:ilvl w:val="3"/>
        <w:numId w:val="1"/>
      </w:numPr>
      <w:spacing w:before="240" w:after="120" w:line="240" w:lineRule="auto"/>
      <w:outlineLvl w:val="3"/>
    </w:pPr>
    <w:rPr>
      <w:rFonts w:eastAsia="Times New Roman" w:cs="Times New Roman"/>
      <w:b/>
      <w:sz w:val="24"/>
      <w:szCs w:val="20"/>
      <w:lang w:val="en-GB"/>
    </w:rPr>
  </w:style>
  <w:style w:type="paragraph" w:styleId="Heading5">
    <w:name w:val="heading 5"/>
    <w:basedOn w:val="Normal"/>
    <w:next w:val="Normal"/>
    <w:link w:val="Heading5Char"/>
    <w:uiPriority w:val="9"/>
    <w:semiHidden/>
    <w:unhideWhenUsed/>
    <w:qFormat/>
    <w:rsid w:val="002E3905"/>
    <w:pPr>
      <w:keepNext/>
      <w:keepLines/>
      <w:spacing w:before="200" w:after="0"/>
      <w:ind w:left="1008" w:hanging="1008"/>
      <w:outlineLvl w:val="4"/>
    </w:pPr>
    <w:rPr>
      <w:rFonts w:asciiTheme="majorHAnsi" w:eastAsiaTheme="majorEastAsia" w:hAnsiTheme="majorHAnsi" w:cstheme="majorBidi"/>
      <w:color w:val="1F3763" w:themeColor="accent1" w:themeShade="7F"/>
      <w:szCs w:val="24"/>
      <w:lang w:val="en-US"/>
    </w:rPr>
  </w:style>
  <w:style w:type="paragraph" w:styleId="Heading6">
    <w:name w:val="heading 6"/>
    <w:basedOn w:val="Normal"/>
    <w:next w:val="NormalIndent"/>
    <w:link w:val="Heading6Char"/>
    <w:qFormat/>
    <w:rsid w:val="00912E72"/>
    <w:pPr>
      <w:numPr>
        <w:ilvl w:val="5"/>
        <w:numId w:val="1"/>
      </w:numPr>
      <w:spacing w:after="0"/>
      <w:outlineLvl w:val="5"/>
    </w:pPr>
    <w:rPr>
      <w:rFonts w:asciiTheme="minorHAnsi" w:eastAsia="Times New Roman" w:hAnsiTheme="minorHAnsi" w:cs="Times New Roman"/>
      <w:szCs w:val="20"/>
      <w:u w:val="single"/>
      <w:lang w:val="en-US"/>
    </w:rPr>
  </w:style>
  <w:style w:type="paragraph" w:styleId="Heading7">
    <w:name w:val="heading 7"/>
    <w:basedOn w:val="Normal"/>
    <w:next w:val="NormalIndent"/>
    <w:link w:val="Heading7Char"/>
    <w:qFormat/>
    <w:rsid w:val="00912E72"/>
    <w:pPr>
      <w:numPr>
        <w:ilvl w:val="6"/>
        <w:numId w:val="1"/>
      </w:numPr>
      <w:spacing w:after="0"/>
      <w:outlineLvl w:val="6"/>
    </w:pPr>
    <w:rPr>
      <w:rFonts w:asciiTheme="minorHAnsi" w:eastAsia="Times New Roman" w:hAnsiTheme="minorHAnsi" w:cs="Times New Roman"/>
      <w:i/>
      <w:szCs w:val="20"/>
      <w:lang w:val="en-US"/>
    </w:rPr>
  </w:style>
  <w:style w:type="paragraph" w:styleId="Heading8">
    <w:name w:val="heading 8"/>
    <w:basedOn w:val="Normal"/>
    <w:next w:val="NormalIndent"/>
    <w:link w:val="Heading8Char"/>
    <w:qFormat/>
    <w:rsid w:val="00912E72"/>
    <w:pPr>
      <w:numPr>
        <w:ilvl w:val="7"/>
        <w:numId w:val="1"/>
      </w:numPr>
      <w:spacing w:after="0"/>
      <w:outlineLvl w:val="7"/>
    </w:pPr>
    <w:rPr>
      <w:rFonts w:asciiTheme="minorHAnsi" w:eastAsia="Times New Roman" w:hAnsiTheme="minorHAnsi" w:cs="Times New Roman"/>
      <w:i/>
      <w:szCs w:val="20"/>
      <w:lang w:val="en-US"/>
    </w:rPr>
  </w:style>
  <w:style w:type="paragraph" w:styleId="Heading9">
    <w:name w:val="heading 9"/>
    <w:basedOn w:val="Normal"/>
    <w:next w:val="NormalIndent"/>
    <w:link w:val="Heading9Char"/>
    <w:qFormat/>
    <w:rsid w:val="00912E72"/>
    <w:pPr>
      <w:numPr>
        <w:ilvl w:val="8"/>
        <w:numId w:val="1"/>
      </w:numPr>
      <w:spacing w:after="0"/>
      <w:outlineLvl w:val="8"/>
    </w:pPr>
    <w:rPr>
      <w:rFonts w:asciiTheme="minorHAnsi" w:eastAsia="Times New Roman" w:hAnsiTheme="minorHAnsi" w:cs="Times New Roman"/>
      <w: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105"/>
    <w:pPr>
      <w:tabs>
        <w:tab w:val="center" w:pos="4536"/>
        <w:tab w:val="right" w:pos="9072"/>
      </w:tabs>
      <w:spacing w:after="0"/>
    </w:pPr>
    <w:rPr>
      <w:rFonts w:asciiTheme="minorHAnsi" w:hAnsiTheme="minorHAnsi"/>
      <w:sz w:val="22"/>
    </w:rPr>
  </w:style>
  <w:style w:type="character" w:customStyle="1" w:styleId="HeaderChar">
    <w:name w:val="Header Char"/>
    <w:basedOn w:val="DefaultParagraphFont"/>
    <w:link w:val="Header"/>
    <w:uiPriority w:val="99"/>
    <w:rsid w:val="00381105"/>
  </w:style>
  <w:style w:type="paragraph" w:styleId="Footer">
    <w:name w:val="footer"/>
    <w:basedOn w:val="Normal"/>
    <w:link w:val="FooterChar"/>
    <w:uiPriority w:val="99"/>
    <w:unhideWhenUsed/>
    <w:rsid w:val="00381105"/>
    <w:pPr>
      <w:tabs>
        <w:tab w:val="center" w:pos="4536"/>
        <w:tab w:val="right" w:pos="9072"/>
      </w:tabs>
      <w:spacing w:after="0"/>
    </w:pPr>
    <w:rPr>
      <w:rFonts w:asciiTheme="minorHAnsi" w:hAnsiTheme="minorHAnsi"/>
      <w:sz w:val="22"/>
    </w:rPr>
  </w:style>
  <w:style w:type="character" w:customStyle="1" w:styleId="FooterChar">
    <w:name w:val="Footer Char"/>
    <w:basedOn w:val="DefaultParagraphFont"/>
    <w:link w:val="Footer"/>
    <w:uiPriority w:val="99"/>
    <w:rsid w:val="00381105"/>
  </w:style>
  <w:style w:type="table" w:styleId="TableGrid">
    <w:name w:val="Table Grid"/>
    <w:basedOn w:val="TableNormal"/>
    <w:rsid w:val="00114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huvudrubrik">
    <w:name w:val="sidhuvudrubrik"/>
    <w:basedOn w:val="Normal"/>
    <w:link w:val="sidhuvudrubrikChar"/>
    <w:rsid w:val="0011452F"/>
    <w:pPr>
      <w:spacing w:before="40" w:after="0" w:line="288" w:lineRule="auto"/>
    </w:pPr>
    <w:rPr>
      <w:sz w:val="14"/>
    </w:rPr>
  </w:style>
  <w:style w:type="character" w:customStyle="1" w:styleId="sidhuvudrubrikChar">
    <w:name w:val="sidhuvudrubrik Char"/>
    <w:basedOn w:val="DefaultParagraphFont"/>
    <w:link w:val="sidhuvudrubrik"/>
    <w:rsid w:val="0011452F"/>
    <w:rPr>
      <w:rFonts w:ascii="Verdana" w:hAnsi="Verdana"/>
      <w:sz w:val="14"/>
    </w:rPr>
  </w:style>
  <w:style w:type="character" w:styleId="PlaceholderText">
    <w:name w:val="Placeholder Text"/>
    <w:basedOn w:val="DefaultParagraphFont"/>
    <w:uiPriority w:val="99"/>
    <w:semiHidden/>
    <w:rsid w:val="004C6C95"/>
    <w:rPr>
      <w:color w:val="808080"/>
    </w:rPr>
  </w:style>
  <w:style w:type="paragraph" w:styleId="NoSpacing">
    <w:name w:val="No Spacing"/>
    <w:link w:val="NoSpacingChar"/>
    <w:uiPriority w:val="1"/>
    <w:qFormat/>
    <w:rsid w:val="0079356D"/>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79356D"/>
    <w:rPr>
      <w:rFonts w:ascii="Calibri" w:eastAsia="Calibri" w:hAnsi="Calibri" w:cs="Times New Roman"/>
      <w:lang w:val="en-US"/>
    </w:rPr>
  </w:style>
  <w:style w:type="character" w:customStyle="1" w:styleId="Heading1Char">
    <w:name w:val="Heading 1 Char"/>
    <w:basedOn w:val="DefaultParagraphFont"/>
    <w:link w:val="Heading1"/>
    <w:rsid w:val="00912E72"/>
    <w:rPr>
      <w:rFonts w:eastAsia="Times New Roman" w:cs="Times New Roman"/>
      <w:b/>
      <w:sz w:val="32"/>
      <w:szCs w:val="20"/>
      <w:lang w:val="en-GB"/>
    </w:rPr>
  </w:style>
  <w:style w:type="character" w:customStyle="1" w:styleId="Heading2Char">
    <w:name w:val="Heading 2 Char"/>
    <w:basedOn w:val="DefaultParagraphFont"/>
    <w:link w:val="Heading2"/>
    <w:rsid w:val="00912E72"/>
    <w:rPr>
      <w:rFonts w:eastAsia="Times New Roman" w:cstheme="minorHAnsi"/>
      <w:b/>
      <w:sz w:val="24"/>
      <w:szCs w:val="20"/>
      <w:lang w:val="en-GB"/>
    </w:rPr>
  </w:style>
  <w:style w:type="character" w:customStyle="1" w:styleId="Heading3Char">
    <w:name w:val="Heading 3 Char"/>
    <w:basedOn w:val="DefaultParagraphFont"/>
    <w:link w:val="Heading3"/>
    <w:rsid w:val="00912E72"/>
    <w:rPr>
      <w:rFonts w:eastAsia="Times New Roman" w:cstheme="minorHAnsi"/>
      <w:b/>
      <w:sz w:val="24"/>
      <w:szCs w:val="20"/>
      <w:lang w:val="en-GB"/>
    </w:rPr>
  </w:style>
  <w:style w:type="character" w:customStyle="1" w:styleId="Heading4Char">
    <w:name w:val="Heading 4 Char"/>
    <w:basedOn w:val="DefaultParagraphFont"/>
    <w:link w:val="Heading4"/>
    <w:rsid w:val="00912E72"/>
    <w:rPr>
      <w:rFonts w:eastAsia="Times New Roman" w:cs="Times New Roman"/>
      <w:b/>
      <w:sz w:val="24"/>
      <w:szCs w:val="20"/>
      <w:lang w:val="en-GB"/>
    </w:rPr>
  </w:style>
  <w:style w:type="character" w:customStyle="1" w:styleId="Heading6Char">
    <w:name w:val="Heading 6 Char"/>
    <w:basedOn w:val="DefaultParagraphFont"/>
    <w:link w:val="Heading6"/>
    <w:rsid w:val="00912E72"/>
    <w:rPr>
      <w:rFonts w:eastAsia="Times New Roman" w:cs="Times New Roman"/>
      <w:sz w:val="20"/>
      <w:szCs w:val="20"/>
      <w:u w:val="single"/>
      <w:lang w:val="en-US"/>
    </w:rPr>
  </w:style>
  <w:style w:type="character" w:customStyle="1" w:styleId="Heading7Char">
    <w:name w:val="Heading 7 Char"/>
    <w:basedOn w:val="DefaultParagraphFont"/>
    <w:link w:val="Heading7"/>
    <w:rsid w:val="00912E72"/>
    <w:rPr>
      <w:rFonts w:eastAsia="Times New Roman" w:cs="Times New Roman"/>
      <w:i/>
      <w:sz w:val="20"/>
      <w:szCs w:val="20"/>
      <w:lang w:val="en-US"/>
    </w:rPr>
  </w:style>
  <w:style w:type="character" w:customStyle="1" w:styleId="Heading8Char">
    <w:name w:val="Heading 8 Char"/>
    <w:basedOn w:val="DefaultParagraphFont"/>
    <w:link w:val="Heading8"/>
    <w:rsid w:val="00912E72"/>
    <w:rPr>
      <w:rFonts w:eastAsia="Times New Roman" w:cs="Times New Roman"/>
      <w:i/>
      <w:sz w:val="20"/>
      <w:szCs w:val="20"/>
      <w:lang w:val="en-US"/>
    </w:rPr>
  </w:style>
  <w:style w:type="character" w:customStyle="1" w:styleId="Heading9Char">
    <w:name w:val="Heading 9 Char"/>
    <w:basedOn w:val="DefaultParagraphFont"/>
    <w:link w:val="Heading9"/>
    <w:rsid w:val="00912E72"/>
    <w:rPr>
      <w:rFonts w:eastAsia="Times New Roman" w:cs="Times New Roman"/>
      <w:i/>
      <w:sz w:val="20"/>
      <w:szCs w:val="20"/>
      <w:lang w:val="en-US"/>
    </w:rPr>
  </w:style>
  <w:style w:type="paragraph" w:styleId="NormalIndent">
    <w:name w:val="Normal Indent"/>
    <w:basedOn w:val="Normal"/>
    <w:uiPriority w:val="99"/>
    <w:semiHidden/>
    <w:unhideWhenUsed/>
    <w:rsid w:val="00912E72"/>
    <w:pPr>
      <w:ind w:left="1304"/>
    </w:pPr>
  </w:style>
  <w:style w:type="paragraph" w:styleId="TOCHeading">
    <w:name w:val="TOC Heading"/>
    <w:basedOn w:val="Heading1"/>
    <w:next w:val="Normal"/>
    <w:uiPriority w:val="39"/>
    <w:unhideWhenUsed/>
    <w:qFormat/>
    <w:rsid w:val="00912E72"/>
    <w:pPr>
      <w:keepLines/>
      <w:numPr>
        <w:numId w:val="0"/>
      </w:numPr>
      <w:spacing w:before="240" w:after="0" w:line="259" w:lineRule="auto"/>
      <w:outlineLvl w:val="9"/>
    </w:pPr>
    <w:rPr>
      <w:rFonts w:asciiTheme="majorHAnsi" w:eastAsiaTheme="majorEastAsia" w:hAnsiTheme="majorHAnsi" w:cstheme="majorBidi"/>
      <w:b w:val="0"/>
      <w:color w:val="2F5496" w:themeColor="accent1" w:themeShade="BF"/>
      <w:szCs w:val="32"/>
      <w:lang w:val="sv-SE" w:eastAsia="sv-SE"/>
    </w:rPr>
  </w:style>
  <w:style w:type="paragraph" w:styleId="TOC1">
    <w:name w:val="toc 1"/>
    <w:basedOn w:val="Normal"/>
    <w:next w:val="Normal"/>
    <w:autoRedefine/>
    <w:uiPriority w:val="39"/>
    <w:unhideWhenUsed/>
    <w:rsid w:val="00912E72"/>
    <w:pPr>
      <w:spacing w:after="100"/>
    </w:pPr>
  </w:style>
  <w:style w:type="character" w:styleId="Hyperlink">
    <w:name w:val="Hyperlink"/>
    <w:basedOn w:val="DefaultParagraphFont"/>
    <w:uiPriority w:val="99"/>
    <w:unhideWhenUsed/>
    <w:rsid w:val="00912E72"/>
    <w:rPr>
      <w:color w:val="0563C1" w:themeColor="hyperlink"/>
      <w:u w:val="single"/>
    </w:rPr>
  </w:style>
  <w:style w:type="paragraph" w:styleId="ListParagraph">
    <w:name w:val="List Paragraph"/>
    <w:basedOn w:val="Normal"/>
    <w:uiPriority w:val="34"/>
    <w:qFormat/>
    <w:rsid w:val="00496828"/>
    <w:pPr>
      <w:ind w:left="720"/>
      <w:contextualSpacing/>
    </w:pPr>
  </w:style>
  <w:style w:type="character" w:customStyle="1" w:styleId="Heading5Char">
    <w:name w:val="Heading 5 Char"/>
    <w:basedOn w:val="DefaultParagraphFont"/>
    <w:link w:val="Heading5"/>
    <w:uiPriority w:val="9"/>
    <w:semiHidden/>
    <w:rsid w:val="002E3905"/>
    <w:rPr>
      <w:rFonts w:asciiTheme="majorHAnsi" w:eastAsiaTheme="majorEastAsia" w:hAnsiTheme="majorHAnsi" w:cstheme="majorBidi"/>
      <w:color w:val="1F3763" w:themeColor="accent1" w:themeShade="7F"/>
      <w:sz w:val="20"/>
      <w:szCs w:val="24"/>
      <w:lang w:val="en-US"/>
    </w:rPr>
  </w:style>
  <w:style w:type="character" w:styleId="IntenseEmphasis">
    <w:name w:val="Intense Emphasis"/>
    <w:basedOn w:val="DefaultParagraphFont"/>
    <w:uiPriority w:val="21"/>
    <w:qFormat/>
    <w:rsid w:val="002E3905"/>
    <w:rPr>
      <w:b/>
      <w:bCs/>
      <w:i/>
      <w:iCs/>
      <w:color w:val="4472C4" w:themeColor="accent1"/>
    </w:rPr>
  </w:style>
  <w:style w:type="paragraph" w:styleId="NormalWeb">
    <w:name w:val="Normal (Web)"/>
    <w:basedOn w:val="Normal"/>
    <w:uiPriority w:val="99"/>
    <w:semiHidden/>
    <w:unhideWhenUsed/>
    <w:rsid w:val="002E3905"/>
    <w:pPr>
      <w:spacing w:before="100" w:beforeAutospacing="1" w:after="100" w:afterAutospacing="1"/>
    </w:pPr>
    <w:rPr>
      <w:rFonts w:ascii="Times New Roman" w:eastAsiaTheme="minorEastAsia" w:hAnsi="Times New Roman" w:cs="Times New Roman"/>
      <w:sz w:val="24"/>
      <w:szCs w:val="24"/>
      <w:lang w:val="en-US"/>
    </w:rPr>
  </w:style>
  <w:style w:type="table" w:styleId="PlainTable1">
    <w:name w:val="Plain Table 1"/>
    <w:basedOn w:val="TableNormal"/>
    <w:uiPriority w:val="41"/>
    <w:rsid w:val="002E390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2">
    <w:name w:val="toc 2"/>
    <w:basedOn w:val="Normal"/>
    <w:next w:val="Normal"/>
    <w:autoRedefine/>
    <w:uiPriority w:val="39"/>
    <w:unhideWhenUsed/>
    <w:rsid w:val="002E3905"/>
    <w:pPr>
      <w:spacing w:after="100"/>
      <w:ind w:left="200"/>
    </w:pPr>
  </w:style>
  <w:style w:type="character" w:styleId="CommentReference">
    <w:name w:val="annotation reference"/>
    <w:basedOn w:val="DefaultParagraphFont"/>
    <w:uiPriority w:val="99"/>
    <w:semiHidden/>
    <w:unhideWhenUsed/>
    <w:rsid w:val="00AF6686"/>
    <w:rPr>
      <w:sz w:val="16"/>
      <w:szCs w:val="16"/>
    </w:rPr>
  </w:style>
  <w:style w:type="paragraph" w:styleId="CommentText">
    <w:name w:val="annotation text"/>
    <w:basedOn w:val="Normal"/>
    <w:link w:val="CommentTextChar"/>
    <w:uiPriority w:val="99"/>
    <w:unhideWhenUsed/>
    <w:rsid w:val="00AF6686"/>
    <w:rPr>
      <w:szCs w:val="20"/>
    </w:rPr>
  </w:style>
  <w:style w:type="character" w:customStyle="1" w:styleId="CommentTextChar">
    <w:name w:val="Comment Text Char"/>
    <w:basedOn w:val="DefaultParagraphFont"/>
    <w:link w:val="CommentText"/>
    <w:uiPriority w:val="99"/>
    <w:rsid w:val="00AF6686"/>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AF6686"/>
    <w:rPr>
      <w:b/>
      <w:bCs/>
    </w:rPr>
  </w:style>
  <w:style w:type="character" w:customStyle="1" w:styleId="CommentSubjectChar">
    <w:name w:val="Comment Subject Char"/>
    <w:basedOn w:val="CommentTextChar"/>
    <w:link w:val="CommentSubject"/>
    <w:uiPriority w:val="99"/>
    <w:semiHidden/>
    <w:rsid w:val="00AF6686"/>
    <w:rPr>
      <w:rFonts w:ascii="Verdana" w:hAnsi="Verdana"/>
      <w:b/>
      <w:bCs/>
      <w:sz w:val="20"/>
      <w:szCs w:val="20"/>
    </w:rPr>
  </w:style>
  <w:style w:type="paragraph" w:styleId="BalloonText">
    <w:name w:val="Balloon Text"/>
    <w:basedOn w:val="Normal"/>
    <w:link w:val="BalloonTextChar"/>
    <w:uiPriority w:val="99"/>
    <w:semiHidden/>
    <w:unhideWhenUsed/>
    <w:rsid w:val="00AF668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686"/>
    <w:rPr>
      <w:rFonts w:ascii="Segoe UI" w:hAnsi="Segoe UI" w:cs="Segoe UI"/>
      <w:sz w:val="18"/>
      <w:szCs w:val="18"/>
    </w:rPr>
  </w:style>
  <w:style w:type="paragraph" w:styleId="FootnoteText">
    <w:name w:val="footnote text"/>
    <w:basedOn w:val="Normal"/>
    <w:link w:val="FootnoteTextChar"/>
    <w:uiPriority w:val="99"/>
    <w:unhideWhenUsed/>
    <w:rsid w:val="007127EF"/>
    <w:pPr>
      <w:spacing w:after="0"/>
    </w:pPr>
    <w:rPr>
      <w:szCs w:val="20"/>
    </w:rPr>
  </w:style>
  <w:style w:type="character" w:customStyle="1" w:styleId="FootnoteTextChar">
    <w:name w:val="Footnote Text Char"/>
    <w:basedOn w:val="DefaultParagraphFont"/>
    <w:link w:val="FootnoteText"/>
    <w:uiPriority w:val="99"/>
    <w:rsid w:val="007127EF"/>
    <w:rPr>
      <w:rFonts w:ascii="Verdana" w:hAnsi="Verdana"/>
      <w:sz w:val="20"/>
      <w:szCs w:val="20"/>
    </w:rPr>
  </w:style>
  <w:style w:type="character" w:styleId="FootnoteReference">
    <w:name w:val="footnote reference"/>
    <w:basedOn w:val="DefaultParagraphFont"/>
    <w:uiPriority w:val="99"/>
    <w:semiHidden/>
    <w:unhideWhenUsed/>
    <w:rsid w:val="007127EF"/>
    <w:rPr>
      <w:vertAlign w:val="superscript"/>
    </w:rPr>
  </w:style>
  <w:style w:type="paragraph" w:customStyle="1" w:styleId="Pa6">
    <w:name w:val="Pa6"/>
    <w:basedOn w:val="Normal"/>
    <w:next w:val="Normal"/>
    <w:uiPriority w:val="99"/>
    <w:rsid w:val="00705242"/>
    <w:pPr>
      <w:autoSpaceDE w:val="0"/>
      <w:autoSpaceDN w:val="0"/>
      <w:adjustRightInd w:val="0"/>
      <w:spacing w:after="0" w:line="181" w:lineRule="atLeast"/>
    </w:pPr>
    <w:rPr>
      <w:rFonts w:ascii="Arno Pro" w:hAnsi="Arno Pro"/>
      <w:sz w:val="24"/>
      <w:szCs w:val="24"/>
    </w:rPr>
  </w:style>
  <w:style w:type="paragraph" w:styleId="Revision">
    <w:name w:val="Revision"/>
    <w:hidden/>
    <w:uiPriority w:val="99"/>
    <w:semiHidden/>
    <w:rsid w:val="00156A51"/>
    <w:pPr>
      <w:spacing w:after="0" w:line="240" w:lineRule="auto"/>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81938">
      <w:bodyDiv w:val="1"/>
      <w:marLeft w:val="0"/>
      <w:marRight w:val="0"/>
      <w:marTop w:val="0"/>
      <w:marBottom w:val="0"/>
      <w:divBdr>
        <w:top w:val="none" w:sz="0" w:space="0" w:color="auto"/>
        <w:left w:val="none" w:sz="0" w:space="0" w:color="auto"/>
        <w:bottom w:val="none" w:sz="0" w:space="0" w:color="auto"/>
        <w:right w:val="none" w:sz="0" w:space="0" w:color="auto"/>
      </w:divBdr>
    </w:div>
    <w:div w:id="405496952">
      <w:bodyDiv w:val="1"/>
      <w:marLeft w:val="0"/>
      <w:marRight w:val="0"/>
      <w:marTop w:val="0"/>
      <w:marBottom w:val="0"/>
      <w:divBdr>
        <w:top w:val="none" w:sz="0" w:space="0" w:color="auto"/>
        <w:left w:val="none" w:sz="0" w:space="0" w:color="auto"/>
        <w:bottom w:val="none" w:sz="0" w:space="0" w:color="auto"/>
        <w:right w:val="none" w:sz="0" w:space="0" w:color="auto"/>
      </w:divBdr>
    </w:div>
    <w:div w:id="694699007">
      <w:bodyDiv w:val="1"/>
      <w:marLeft w:val="0"/>
      <w:marRight w:val="0"/>
      <w:marTop w:val="0"/>
      <w:marBottom w:val="0"/>
      <w:divBdr>
        <w:top w:val="none" w:sz="0" w:space="0" w:color="auto"/>
        <w:left w:val="none" w:sz="0" w:space="0" w:color="auto"/>
        <w:bottom w:val="none" w:sz="0" w:space="0" w:color="auto"/>
        <w:right w:val="none" w:sz="0" w:space="0" w:color="auto"/>
      </w:divBdr>
    </w:div>
    <w:div w:id="1280575392">
      <w:bodyDiv w:val="1"/>
      <w:marLeft w:val="0"/>
      <w:marRight w:val="0"/>
      <w:marTop w:val="0"/>
      <w:marBottom w:val="0"/>
      <w:divBdr>
        <w:top w:val="none" w:sz="0" w:space="0" w:color="auto"/>
        <w:left w:val="none" w:sz="0" w:space="0" w:color="auto"/>
        <w:bottom w:val="none" w:sz="0" w:space="0" w:color="auto"/>
        <w:right w:val="none" w:sz="0" w:space="0" w:color="auto"/>
      </w:divBdr>
    </w:div>
    <w:div w:id="1352223108">
      <w:bodyDiv w:val="1"/>
      <w:marLeft w:val="0"/>
      <w:marRight w:val="0"/>
      <w:marTop w:val="0"/>
      <w:marBottom w:val="0"/>
      <w:divBdr>
        <w:top w:val="none" w:sz="0" w:space="0" w:color="auto"/>
        <w:left w:val="none" w:sz="0" w:space="0" w:color="auto"/>
        <w:bottom w:val="none" w:sz="0" w:space="0" w:color="auto"/>
        <w:right w:val="none" w:sz="0" w:space="0" w:color="auto"/>
      </w:divBdr>
    </w:div>
    <w:div w:id="1455097224">
      <w:bodyDiv w:val="1"/>
      <w:marLeft w:val="0"/>
      <w:marRight w:val="0"/>
      <w:marTop w:val="0"/>
      <w:marBottom w:val="0"/>
      <w:divBdr>
        <w:top w:val="none" w:sz="0" w:space="0" w:color="auto"/>
        <w:left w:val="none" w:sz="0" w:space="0" w:color="auto"/>
        <w:bottom w:val="none" w:sz="0" w:space="0" w:color="auto"/>
        <w:right w:val="none" w:sz="0" w:space="0" w:color="auto"/>
      </w:divBdr>
    </w:div>
    <w:div w:id="1723094355">
      <w:bodyDiv w:val="1"/>
      <w:marLeft w:val="0"/>
      <w:marRight w:val="0"/>
      <w:marTop w:val="0"/>
      <w:marBottom w:val="0"/>
      <w:divBdr>
        <w:top w:val="none" w:sz="0" w:space="0" w:color="auto"/>
        <w:left w:val="none" w:sz="0" w:space="0" w:color="auto"/>
        <w:bottom w:val="none" w:sz="0" w:space="0" w:color="auto"/>
        <w:right w:val="none" w:sz="0" w:space="0" w:color="auto"/>
      </w:divBdr>
    </w:div>
    <w:div w:id="177964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4A5C57DDBE1345A8F1A5BEE068B754" ma:contentTypeVersion="14" ma:contentTypeDescription="Create a new document." ma:contentTypeScope="" ma:versionID="a703ed57e1eab11759d21338e4a08705">
  <xsd:schema xmlns:xsd="http://www.w3.org/2001/XMLSchema" xmlns:xs="http://www.w3.org/2001/XMLSchema" xmlns:p="http://schemas.microsoft.com/office/2006/metadata/properties" xmlns:ns3="1705ec19-0a31-4780-aab7-9d370f3f54d7" xmlns:ns4="acf0487f-2222-4cb4-a68d-159fae75571c" targetNamespace="http://schemas.microsoft.com/office/2006/metadata/properties" ma:root="true" ma:fieldsID="43be2fe9f1aa1f7507872f426ebdb622" ns3:_="" ns4:_="">
    <xsd:import namespace="1705ec19-0a31-4780-aab7-9d370f3f54d7"/>
    <xsd:import namespace="acf0487f-2222-4cb4-a68d-159fae75571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5ec19-0a31-4780-aab7-9d370f3f54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0487f-2222-4cb4-a68d-159fae75571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483174-3DE9-49DA-B465-1FE32C5A3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5ec19-0a31-4780-aab7-9d370f3f54d7"/>
    <ds:schemaRef ds:uri="acf0487f-2222-4cb4-a68d-159fae755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C2FEB8-6300-47C8-B33A-244DBDA3E0FA}">
  <ds:schemaRefs>
    <ds:schemaRef ds:uri="http://schemas.microsoft.com/sharepoint/v3/contenttype/forms"/>
  </ds:schemaRefs>
</ds:datastoreItem>
</file>

<file path=customXml/itemProps3.xml><?xml version="1.0" encoding="utf-8"?>
<ds:datastoreItem xmlns:ds="http://schemas.openxmlformats.org/officeDocument/2006/customXml" ds:itemID="{E37B588D-507F-4C3E-9493-F5AC17C4A34E}">
  <ds:schemaRefs>
    <ds:schemaRef ds:uri="http://schemas.openxmlformats.org/officeDocument/2006/bibliography"/>
  </ds:schemaRefs>
</ds:datastoreItem>
</file>

<file path=customXml/itemProps4.xml><?xml version="1.0" encoding="utf-8"?>
<ds:datastoreItem xmlns:ds="http://schemas.openxmlformats.org/officeDocument/2006/customXml" ds:itemID="{DE1E1506-4409-415F-A2AD-A2C5B9D242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1513</Words>
  <Characters>8081</Characters>
  <Application>Microsoft Office Word</Application>
  <DocSecurity>0</DocSecurity>
  <Lines>175</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9514</CharactersWithSpaces>
  <SharedDoc>false</SharedDoc>
  <HLinks>
    <vt:vector size="84" baseType="variant">
      <vt:variant>
        <vt:i4>1835059</vt:i4>
      </vt:variant>
      <vt:variant>
        <vt:i4>80</vt:i4>
      </vt:variant>
      <vt:variant>
        <vt:i4>0</vt:i4>
      </vt:variant>
      <vt:variant>
        <vt:i4>5</vt:i4>
      </vt:variant>
      <vt:variant>
        <vt:lpwstr/>
      </vt:variant>
      <vt:variant>
        <vt:lpwstr>_Toc57271853</vt:lpwstr>
      </vt:variant>
      <vt:variant>
        <vt:i4>1900595</vt:i4>
      </vt:variant>
      <vt:variant>
        <vt:i4>74</vt:i4>
      </vt:variant>
      <vt:variant>
        <vt:i4>0</vt:i4>
      </vt:variant>
      <vt:variant>
        <vt:i4>5</vt:i4>
      </vt:variant>
      <vt:variant>
        <vt:lpwstr/>
      </vt:variant>
      <vt:variant>
        <vt:lpwstr>_Toc57271852</vt:lpwstr>
      </vt:variant>
      <vt:variant>
        <vt:i4>1966131</vt:i4>
      </vt:variant>
      <vt:variant>
        <vt:i4>68</vt:i4>
      </vt:variant>
      <vt:variant>
        <vt:i4>0</vt:i4>
      </vt:variant>
      <vt:variant>
        <vt:i4>5</vt:i4>
      </vt:variant>
      <vt:variant>
        <vt:lpwstr/>
      </vt:variant>
      <vt:variant>
        <vt:lpwstr>_Toc57271851</vt:lpwstr>
      </vt:variant>
      <vt:variant>
        <vt:i4>2031667</vt:i4>
      </vt:variant>
      <vt:variant>
        <vt:i4>62</vt:i4>
      </vt:variant>
      <vt:variant>
        <vt:i4>0</vt:i4>
      </vt:variant>
      <vt:variant>
        <vt:i4>5</vt:i4>
      </vt:variant>
      <vt:variant>
        <vt:lpwstr/>
      </vt:variant>
      <vt:variant>
        <vt:lpwstr>_Toc57271850</vt:lpwstr>
      </vt:variant>
      <vt:variant>
        <vt:i4>1441842</vt:i4>
      </vt:variant>
      <vt:variant>
        <vt:i4>56</vt:i4>
      </vt:variant>
      <vt:variant>
        <vt:i4>0</vt:i4>
      </vt:variant>
      <vt:variant>
        <vt:i4>5</vt:i4>
      </vt:variant>
      <vt:variant>
        <vt:lpwstr/>
      </vt:variant>
      <vt:variant>
        <vt:lpwstr>_Toc57271849</vt:lpwstr>
      </vt:variant>
      <vt:variant>
        <vt:i4>1507378</vt:i4>
      </vt:variant>
      <vt:variant>
        <vt:i4>50</vt:i4>
      </vt:variant>
      <vt:variant>
        <vt:i4>0</vt:i4>
      </vt:variant>
      <vt:variant>
        <vt:i4>5</vt:i4>
      </vt:variant>
      <vt:variant>
        <vt:lpwstr/>
      </vt:variant>
      <vt:variant>
        <vt:lpwstr>_Toc57271848</vt:lpwstr>
      </vt:variant>
      <vt:variant>
        <vt:i4>1572914</vt:i4>
      </vt:variant>
      <vt:variant>
        <vt:i4>44</vt:i4>
      </vt:variant>
      <vt:variant>
        <vt:i4>0</vt:i4>
      </vt:variant>
      <vt:variant>
        <vt:i4>5</vt:i4>
      </vt:variant>
      <vt:variant>
        <vt:lpwstr/>
      </vt:variant>
      <vt:variant>
        <vt:lpwstr>_Toc57271847</vt:lpwstr>
      </vt:variant>
      <vt:variant>
        <vt:i4>1638450</vt:i4>
      </vt:variant>
      <vt:variant>
        <vt:i4>38</vt:i4>
      </vt:variant>
      <vt:variant>
        <vt:i4>0</vt:i4>
      </vt:variant>
      <vt:variant>
        <vt:i4>5</vt:i4>
      </vt:variant>
      <vt:variant>
        <vt:lpwstr/>
      </vt:variant>
      <vt:variant>
        <vt:lpwstr>_Toc57271846</vt:lpwstr>
      </vt:variant>
      <vt:variant>
        <vt:i4>1703986</vt:i4>
      </vt:variant>
      <vt:variant>
        <vt:i4>32</vt:i4>
      </vt:variant>
      <vt:variant>
        <vt:i4>0</vt:i4>
      </vt:variant>
      <vt:variant>
        <vt:i4>5</vt:i4>
      </vt:variant>
      <vt:variant>
        <vt:lpwstr/>
      </vt:variant>
      <vt:variant>
        <vt:lpwstr>_Toc57271845</vt:lpwstr>
      </vt:variant>
      <vt:variant>
        <vt:i4>1769522</vt:i4>
      </vt:variant>
      <vt:variant>
        <vt:i4>26</vt:i4>
      </vt:variant>
      <vt:variant>
        <vt:i4>0</vt:i4>
      </vt:variant>
      <vt:variant>
        <vt:i4>5</vt:i4>
      </vt:variant>
      <vt:variant>
        <vt:lpwstr/>
      </vt:variant>
      <vt:variant>
        <vt:lpwstr>_Toc57271844</vt:lpwstr>
      </vt:variant>
      <vt:variant>
        <vt:i4>1835058</vt:i4>
      </vt:variant>
      <vt:variant>
        <vt:i4>20</vt:i4>
      </vt:variant>
      <vt:variant>
        <vt:i4>0</vt:i4>
      </vt:variant>
      <vt:variant>
        <vt:i4>5</vt:i4>
      </vt:variant>
      <vt:variant>
        <vt:lpwstr/>
      </vt:variant>
      <vt:variant>
        <vt:lpwstr>_Toc57271843</vt:lpwstr>
      </vt:variant>
      <vt:variant>
        <vt:i4>1900594</vt:i4>
      </vt:variant>
      <vt:variant>
        <vt:i4>14</vt:i4>
      </vt:variant>
      <vt:variant>
        <vt:i4>0</vt:i4>
      </vt:variant>
      <vt:variant>
        <vt:i4>5</vt:i4>
      </vt:variant>
      <vt:variant>
        <vt:lpwstr/>
      </vt:variant>
      <vt:variant>
        <vt:lpwstr>_Toc57271842</vt:lpwstr>
      </vt:variant>
      <vt:variant>
        <vt:i4>1966130</vt:i4>
      </vt:variant>
      <vt:variant>
        <vt:i4>8</vt:i4>
      </vt:variant>
      <vt:variant>
        <vt:i4>0</vt:i4>
      </vt:variant>
      <vt:variant>
        <vt:i4>5</vt:i4>
      </vt:variant>
      <vt:variant>
        <vt:lpwstr/>
      </vt:variant>
      <vt:variant>
        <vt:lpwstr>_Toc57271841</vt:lpwstr>
      </vt:variant>
      <vt:variant>
        <vt:i4>2031666</vt:i4>
      </vt:variant>
      <vt:variant>
        <vt:i4>2</vt:i4>
      </vt:variant>
      <vt:variant>
        <vt:i4>0</vt:i4>
      </vt:variant>
      <vt:variant>
        <vt:i4>5</vt:i4>
      </vt:variant>
      <vt:variant>
        <vt:lpwstr/>
      </vt:variant>
      <vt:variant>
        <vt:lpwstr>_Toc57271840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Korsgren</dc:creator>
  <cp:keywords/>
  <dc:description/>
  <cp:lastModifiedBy>Korsgren Marcus</cp:lastModifiedBy>
  <cp:revision>3</cp:revision>
  <dcterms:created xsi:type="dcterms:W3CDTF">2025-04-03T14:00:00Z</dcterms:created>
  <dcterms:modified xsi:type="dcterms:W3CDTF">2025-04-03T14:02:00Z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0x010100684A5C57DDBE1345A8F1A5BEE068B754</vt:lpwstr>
  </property>
</Properties>
</file>